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67"/>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40"/>
          <w:szCs w:val="40"/>
        </w:rPr>
      </w:pPr>
      <w:r>
        <w:rPr>
          <w:rFonts w:hint="eastAsia" w:ascii="方正小标宋_GBK" w:hAnsi="方正小标宋_GBK" w:eastAsia="方正小标宋_GBK" w:cs="方正小标宋_GBK"/>
          <w:b w:val="0"/>
          <w:bCs w:val="0"/>
          <w:color w:val="000000"/>
          <w:sz w:val="40"/>
          <w:szCs w:val="40"/>
        </w:rPr>
        <w:t xml:space="preserve">招　标　文　件</w:t>
      </w:r>
      <w:r>
        <w:rPr>
          <w:rFonts w:hint="eastAsia" w:ascii="方正小标宋_GBK" w:hAnsi="方正小标宋_GBK" w:eastAsia="方正小标宋_GBK" w:cs="方正小标宋_GBK"/>
          <w:b w:val="0"/>
          <w:bCs w:val="0"/>
          <w:color w:val="000000"/>
          <w:sz w:val="40"/>
          <w:szCs w:val="40"/>
        </w:rPr>
      </w:r>
      <w:r/>
    </w:p>
    <w:p>
      <w:pPr>
        <w:pStyle w:val="967"/>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67"/>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项目名称：__南师大随园校区敬师楼电梯更换__</w:t>
      </w:r>
      <w:r>
        <w:rPr>
          <w:rFonts w:hint="eastAsia" w:ascii="方正黑体_GBK" w:hAnsi="方正黑体_GBK" w:eastAsia="方正黑体_GBK" w:cs="方正黑体_GBK"/>
          <w:b w:val="0"/>
          <w:bCs w:val="0"/>
          <w:color w:val="000000"/>
          <w:sz w:val="28"/>
          <w:szCs w:val="28"/>
        </w:rPr>
      </w:r>
      <w:r/>
    </w:p>
    <w:p>
      <w:pPr>
        <w:pStyle w:val="96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JSZC-320000-SCZX-G2026-0201</w:t>
      </w:r>
      <w:r>
        <w:rPr>
          <w:rFonts w:hint="eastAsia" w:ascii="方正黑体_GBK" w:hAnsi="方正黑体_GBK" w:eastAsia="方正黑体_GBK" w:cs="方正黑体_GBK"/>
          <w:b w:val="0"/>
          <w:bCs w:val="0"/>
          <w:color w:val="000000"/>
          <w:sz w:val="28"/>
          <w:szCs w:val="28"/>
        </w:rPr>
      </w:r>
      <w:r/>
    </w:p>
    <w:p>
      <w:pPr>
        <w:pStyle w:val="967"/>
        <w:jc w:val="center"/>
        <w:rPr>
          <w:rFonts w:hint="eastAsia" w:ascii="Times New Roman" w:hAnsi="Times New Roman" w:eastAsia="宋体"/>
          <w:b/>
          <w:color w:val="000000"/>
          <w:sz w:val="28"/>
          <w:szCs w:val="28"/>
          <w:lang w:val="en-US" w:eastAsia="zh-CN"/>
        </w:rPr>
      </w:pPr>
      <w:r>
        <w:rPr>
          <w:rFonts w:hint="eastAsia" w:ascii="Times New Roman" w:hAnsi="Times New Roman" w:eastAsia="宋体"/>
          <w:b/>
          <w:color w:val="000000"/>
          <w:sz w:val="28"/>
          <w:szCs w:val="28"/>
          <w:lang w:val="en-US" w:eastAsia="zh-CN"/>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7"/>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6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_</w:t>
      </w: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_年_</w:t>
      </w:r>
      <w:r>
        <w:rPr>
          <w:rFonts w:hint="eastAsia" w:ascii="方正黑体_GBK" w:hAnsi="方正黑体_GBK" w:eastAsia="方正黑体_GBK" w:cs="方正黑体_GBK"/>
          <w:b w:val="0"/>
          <w:bCs w:val="0"/>
          <w:color w:val="000000"/>
          <w:sz w:val="28"/>
          <w:szCs w:val="28"/>
          <w:lang w:val="en-US" w:eastAsia="zh-CN"/>
        </w:rPr>
        <w:t xml:space="preserve">6</w:t>
      </w:r>
      <w:r>
        <w:rPr>
          <w:rFonts w:hint="eastAsia" w:ascii="方正黑体_GBK" w:hAnsi="方正黑体_GBK" w:eastAsia="方正黑体_GBK" w:cs="方正黑体_GBK"/>
          <w:b w:val="0"/>
          <w:bCs w:val="0"/>
          <w:color w:val="000000"/>
          <w:sz w:val="28"/>
          <w:szCs w:val="28"/>
        </w:rPr>
        <w:t xml:space="preserve">_月</w:t>
      </w:r>
      <w:r>
        <w:rPr>
          <w:rFonts w:hint="eastAsia" w:ascii="方正黑体_GBK" w:hAnsi="方正黑体_GBK" w:eastAsia="方正黑体_GBK" w:cs="方正黑体_GBK"/>
          <w:b w:val="0"/>
          <w:bCs w:val="0"/>
          <w:color w:val="000000"/>
          <w:sz w:val="28"/>
          <w:szCs w:val="28"/>
        </w:rPr>
      </w:r>
      <w:r/>
    </w:p>
    <w:p>
      <w:pPr>
        <w:pStyle w:val="9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67"/>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6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6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1</w:t>
      </w:r>
      <w:r>
        <w:rPr>
          <w:rFonts w:hint="eastAsia" w:ascii="方正黑体_GBK" w:hAnsi="方正黑体_GBK" w:eastAsia="方正黑体_GBK" w:cs="方正黑体_GBK"/>
          <w:color w:val="000000"/>
          <w:sz w:val="28"/>
          <w:szCs w:val="28"/>
          <w:lang w:val="en-US" w:eastAsia="zh-CN"/>
        </w:rPr>
      </w:r>
      <w:r/>
    </w:p>
    <w:p>
      <w:pPr>
        <w:pStyle w:val="96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w:t>
      </w:r>
      <w:r>
        <w:rPr>
          <w:rFonts w:hint="eastAsia" w:ascii="方正黑体_GBK" w:hAnsi="方正黑体_GBK" w:eastAsia="方正黑体_GBK" w:cs="方正黑体_GBK"/>
          <w:color w:val="000000"/>
          <w:sz w:val="28"/>
          <w:szCs w:val="28"/>
          <w:lang w:val="en-US" w:eastAsia="zh-CN"/>
        </w:rPr>
      </w:r>
      <w:r/>
    </w:p>
    <w:p>
      <w:pPr>
        <w:pStyle w:val="96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15</w:t>
      </w:r>
      <w:r>
        <w:rPr>
          <w:rFonts w:ascii="方正黑体_GBK" w:hAnsi="方正黑体_GBK" w:eastAsia="方正黑体_GBK" w:cs="方正黑体_GBK"/>
          <w:color w:val="000000"/>
          <w:sz w:val="28"/>
          <w:szCs w:val="28"/>
          <w:lang w:val="en-US" w:eastAsia="zh-CN"/>
        </w:rPr>
      </w:r>
      <w:r/>
    </w:p>
    <w:p>
      <w:pPr>
        <w:pStyle w:val="96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32</w:t>
      </w:r>
      <w:r>
        <w:rPr>
          <w:rFonts w:ascii="方正黑体_GBK" w:hAnsi="方正黑体_GBK" w:eastAsia="方正黑体_GBK" w:cs="方正黑体_GBK"/>
          <w:color w:val="000000"/>
          <w:sz w:val="28"/>
          <w:szCs w:val="28"/>
          <w:lang w:val="en-US" w:eastAsia="zh-CN"/>
        </w:rPr>
      </w:r>
      <w:r/>
    </w:p>
    <w:p>
      <w:pPr>
        <w:pStyle w:val="96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39</w:t>
      </w:r>
      <w:r>
        <w:rPr>
          <w:rFonts w:ascii="方正黑体_GBK" w:hAnsi="方正黑体_GBK" w:eastAsia="方正黑体_GBK" w:cs="方正黑体_GBK"/>
          <w:color w:val="000000"/>
          <w:sz w:val="28"/>
          <w:szCs w:val="28"/>
          <w:lang w:val="en-US" w:eastAsia="zh-CN"/>
        </w:rPr>
      </w:r>
      <w:r/>
    </w:p>
    <w:p>
      <w:pPr>
        <w:pStyle w:val="96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45</w:t>
      </w:r>
      <w:r>
        <w:rPr>
          <w:rFonts w:ascii="方正黑体_GBK" w:hAnsi="方正黑体_GBK" w:eastAsia="方正黑体_GBK" w:cs="方正黑体_GBK"/>
          <w:color w:val="000000"/>
          <w:sz w:val="28"/>
          <w:szCs w:val="28"/>
          <w:lang w:val="en-US" w:eastAsia="zh-CN"/>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rPr>
      </w:r>
      <w:r/>
    </w:p>
    <w:p>
      <w:pPr>
        <w:pStyle w:val="967"/>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受〔南京师范大学〕的委托，江苏省政府采购中心就〔南师大随园校区敬师楼电梯更换〕(〔</w:t>
      </w:r>
      <w:r>
        <w:rPr>
          <w:rFonts w:hint="eastAsia" w:ascii="方正仿宋_GBK" w:hAnsi="方正仿宋_GBK" w:eastAsia="方正仿宋_GBK" w:cs="方正仿宋_GBK"/>
          <w:color w:val="000000"/>
          <w:sz w:val="28"/>
          <w:szCs w:val="28"/>
          <w:lang w:eastAsia="zh-CN"/>
        </w:rPr>
        <w:t xml:space="preserve">JSZC-320000-SCZX-G2026-0201</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南师大随园校区敬师楼电梯更换</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年7</w:t>
      </w:r>
      <w:r>
        <w:rPr>
          <w:rFonts w:hint="eastAsia" w:ascii="方正仿宋_GBK" w:hAnsi="方正仿宋_GBK" w:eastAsia="方正仿宋_GBK" w:cs="方正仿宋_GBK"/>
          <w:bCs/>
          <w:color w:val="000000"/>
          <w:sz w:val="28"/>
          <w:szCs w:val="28"/>
          <w:u w:val="none"/>
        </w:rPr>
        <w:t xml:space="preserve">月9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JSZC-320000-SCZX-G2026-0201</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bookmarkEnd w:id="11"/>
      <w:r>
        <w:rPr>
          <w:rFonts w:ascii="Times New Roman" w:hAnsi="Times New Roman" w:eastAsia="方正仿宋_GBK" w:cs="Times New Roman"/>
          <w:color w:val="000000"/>
          <w:sz w:val="28"/>
          <w:szCs w:val="28"/>
          <w:lang w:eastAsia="zh-CN"/>
        </w:rPr>
        <w:t xml:space="preserve">南师大随园校区敬师楼电梯更换</w:t>
      </w:r>
      <w:r>
        <w:rPr>
          <w:rFonts w:ascii="Times New Roman" w:hAnsi="Times New Roman" w:eastAsia="方正仿宋_GBK" w:cs="Times New Roman"/>
          <w:color w:val="000000"/>
          <w:sz w:val="28"/>
          <w:szCs w:val="28"/>
          <w:lang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67"/>
              <w:ind w:firstLine="1120"/>
              <w:jc w:val="both"/>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45</w:t>
            </w:r>
            <w:r>
              <w:rPr>
                <w:rFonts w:ascii="方正仿宋_GBK" w:hAnsi="方正仿宋_GBK" w:eastAsia="方正仿宋_GBK" w:cs="方正仿宋_GBK"/>
                <w:color w:val="000000"/>
                <w:sz w:val="28"/>
                <w:szCs w:val="28"/>
                <w:lang w:val="en-US" w:eastAsia="zh-CN"/>
              </w:rPr>
            </w:r>
            <w:r/>
          </w:p>
        </w:tc>
      </w:tr>
    </w:tbl>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67"/>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45</w:t>
            </w:r>
            <w:r>
              <w:rPr>
                <w:rFonts w:ascii="Times New Roman" w:hAnsi="Times New Roman" w:eastAsia="方正仿宋_GBK" w:cs="Times New Roman"/>
                <w:color w:val="000000"/>
                <w:sz w:val="28"/>
                <w:szCs w:val="28"/>
                <w:lang w:val="en-US" w:eastAsia="zh-CN"/>
              </w:rPr>
            </w:r>
            <w:r/>
          </w:p>
        </w:tc>
      </w:tr>
    </w:tbl>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eastAsia="zh-CN"/>
        </w:rPr>
        <w:t xml:space="preserve">本项目是南京师范大学随园校区敬师楼电梯采购安装，旧梯拆除及回收、井道和机房整改。（详细内容见本招标文件第四章）</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一年。</w:t>
      </w:r>
      <w:r>
        <w:rPr>
          <w:rFonts w:hint="eastAsia" w:ascii="方正仿宋_GBK" w:hAnsi="方正仿宋_GBK" w:eastAsia="方正仿宋_GBK" w:cs="方正仿宋_GBK"/>
          <w:color w:val="000000"/>
          <w:sz w:val="28"/>
          <w:szCs w:val="28"/>
          <w:u w:val="single"/>
          <w:lang w:eastAsia="zh-CN"/>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28359080"/>
      <w:r/>
      <w:bookmarkStart w:id="13" w:name="_Toc38985264"/>
      <w:r/>
      <w:bookmarkStart w:id="14" w:name="_Toc28359003"/>
      <w:r/>
      <w:bookmarkStart w:id="15" w:name="_Toc35393622"/>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04"/>
      <w:r/>
      <w:bookmarkStart w:id="19" w:name="_Toc35393623"/>
      <w:r/>
      <w:bookmarkStart w:id="20" w:name="_Toc38985265"/>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lang w:val="en-US" w:eastAsia="zh-CN"/>
        </w:rPr>
        <w:t xml:space="preserve"> 2024或2025</w:t>
      </w:r>
      <w:r>
        <w:rPr>
          <w:rFonts w:hint="eastAsia" w:ascii="方正仿宋_GBK" w:hAnsi="方正仿宋_GBK" w:eastAsia="方正仿宋_GBK" w:cs="方正仿宋_GBK"/>
          <w:color w:val="000000"/>
          <w:sz w:val="28"/>
          <w:szCs w:val="28"/>
        </w:rPr>
        <w:t xml:space="preserve">年度的财务状况报告（成立不满一年无需提供）；</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color w:val="000000"/>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r>
      <w:r/>
    </w:p>
    <w:p>
      <w:pPr>
        <w:pStyle w:val="967"/>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r>
            <w:r/>
          </w:p>
        </w:tc>
      </w:tr>
    </w:tbl>
    <w:p>
      <w:pPr>
        <w:pStyle w:val="96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67"/>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lang w:eastAsia="zh-CN"/>
              </w:rPr>
            </w:r>
            <w:r/>
          </w:p>
        </w:tc>
        <w:tc>
          <w:tcPr>
            <w:tcW w:w="5921" w:type="dxa"/>
            <w:vAlign w:val="top"/>
            <w:textDirection w:val="lrTb"/>
            <w:noWrap w:val="false"/>
          </w:tcPr>
          <w:p>
            <w:pPr>
              <w:pStyle w:val="967"/>
              <w:ind w:right="84"/>
              <w:jc w:val="left"/>
              <w:keepLines w:val="0"/>
              <w:keepNext w:val="0"/>
              <w:pageBreakBefore w:val="0"/>
              <w:spacing w:line="360" w:lineRule="exact"/>
              <w:widowControl w:val="off"/>
              <w:rPr>
                <w:color w:val="000000"/>
                <w:sz w:val="24"/>
                <w:szCs w:val="24"/>
                <w:lang w:val="zh-CN" w:bidi="zh-CN"/>
              </w:rPr>
            </w:pPr>
            <w:r>
              <w:rPr>
                <w:rFonts w:hint="eastAsia"/>
                <w:color w:val="000000"/>
                <w:sz w:val="24"/>
                <w:szCs w:val="24"/>
                <w:lang w:val="zh-CN" w:bidi="zh-CN"/>
              </w:rPr>
              <w:t xml:space="preserve">（1）如供应商是电梯制造商，须具有以下</w:t>
            </w:r>
            <w:r>
              <w:rPr>
                <w:rFonts w:hint="eastAsia" w:ascii="Times New Roman" w:hAnsi="Times New Roman" w:eastAsia="宋体" w:cs="Times New Roman"/>
                <w:color w:val="000000"/>
                <w:sz w:val="24"/>
                <w:szCs w:val="24"/>
                <w:lang w:val="zh-CN" w:bidi="zh-CN"/>
              </w:rPr>
              <w:t xml:space="preserve"> </w:t>
            </w:r>
            <w:r>
              <w:rPr>
                <w:rFonts w:ascii="Times New Roman" w:hAnsi="Times New Roman" w:eastAsia="宋体" w:cs="Times New Roman"/>
                <w:color w:val="000000"/>
                <w:sz w:val="24"/>
                <w:szCs w:val="24"/>
                <w:lang w:val="zh-CN" w:bidi="zh-CN"/>
              </w:rPr>
              <w:t xml:space="preserve">①</w:t>
            </w:r>
            <w:r>
              <w:rPr>
                <w:rFonts w:hint="eastAsia" w:ascii="Times New Roman" w:hAnsi="Times New Roman" w:eastAsia="宋体" w:cs="Times New Roman"/>
                <w:color w:val="000000"/>
                <w:sz w:val="24"/>
                <w:szCs w:val="24"/>
                <w:lang w:val="zh-CN" w:bidi="zh-CN"/>
              </w:rPr>
              <w:t xml:space="preserve">或 </w:t>
            </w:r>
            <w:r>
              <w:rPr>
                <w:rFonts w:ascii="Times New Roman" w:hAnsi="Times New Roman" w:eastAsia="宋体" w:cs="Times New Roman"/>
                <w:color w:val="000000"/>
                <w:sz w:val="24"/>
                <w:szCs w:val="24"/>
                <w:lang w:val="zh-CN" w:bidi="zh-CN"/>
              </w:rPr>
              <w:t xml:space="preserve">②</w:t>
            </w:r>
            <w:r>
              <w:rPr>
                <w:rFonts w:hint="eastAsia"/>
                <w:color w:val="000000"/>
                <w:sz w:val="24"/>
                <w:szCs w:val="24"/>
                <w:lang w:val="zh-CN" w:bidi="zh-CN"/>
              </w:rPr>
              <w:t xml:space="preserve">项资质：</w:t>
            </w:r>
            <w:r>
              <w:rPr>
                <w:color w:val="000000"/>
                <w:sz w:val="24"/>
                <w:szCs w:val="24"/>
                <w:lang w:val="zh-CN" w:bidi="zh-CN"/>
              </w:rPr>
            </w:r>
            <w:r/>
          </w:p>
          <w:p>
            <w:pPr>
              <w:pStyle w:val="967"/>
              <w:ind w:right="84"/>
              <w:jc w:val="left"/>
              <w:keepLines w:val="0"/>
              <w:keepNext w:val="0"/>
              <w:pageBreakBefore w:val="0"/>
              <w:spacing w:line="360" w:lineRule="exact"/>
              <w:widowControl w:val="off"/>
              <w:rPr>
                <w:rFonts w:hint="eastAsia" w:ascii="Times New Roman" w:hAnsi="Times New Roman" w:eastAsia="宋体" w:cs="Times New Roman"/>
                <w:color w:val="000000"/>
                <w:sz w:val="24"/>
                <w:szCs w:val="24"/>
                <w:lang w:val="zh-CN" w:bidi="zh-CN"/>
              </w:rPr>
            </w:pPr>
            <w:r>
              <w:rPr>
                <w:rFonts w:ascii="Times New Roman" w:hAnsi="Times New Roman" w:eastAsia="宋体" w:cs="Times New Roman"/>
                <w:color w:val="000000"/>
                <w:sz w:val="24"/>
                <w:szCs w:val="24"/>
                <w:lang w:val="zh-CN" w:bidi="zh-CN"/>
              </w:rPr>
              <w:t xml:space="preserve">①</w:t>
            </w:r>
            <w:r>
              <w:rPr>
                <w:rFonts w:hint="eastAsia" w:ascii="Times New Roman" w:hAnsi="Times New Roman" w:eastAsia="宋体" w:cs="Times New Roman"/>
                <w:color w:val="000000"/>
                <w:sz w:val="24"/>
                <w:szCs w:val="24"/>
                <w:lang w:val="zh-CN" w:bidi="zh-CN"/>
              </w:rPr>
              <w:t xml:space="preserve">有效的特种设备制造许可证（电梯）资质（含曳引驱动乘客电梯）和有效的特种设备安装改造维修许可证资质（含曳引驱动乘客电梯）；</w:t>
            </w:r>
            <w:r>
              <w:rPr>
                <w:rFonts w:hint="eastAsia" w:ascii="Times New Roman" w:hAnsi="Times New Roman" w:eastAsia="宋体" w:cs="Times New Roman"/>
                <w:color w:val="000000"/>
                <w:sz w:val="24"/>
                <w:szCs w:val="24"/>
                <w:lang w:val="zh-CN" w:bidi="zh-CN"/>
              </w:rPr>
            </w:r>
            <w:r/>
          </w:p>
          <w:p>
            <w:pPr>
              <w:pStyle w:val="967"/>
              <w:ind w:right="84"/>
              <w:jc w:val="left"/>
              <w:keepLines w:val="0"/>
              <w:keepNext w:val="0"/>
              <w:pageBreakBefore w:val="0"/>
              <w:spacing w:line="360" w:lineRule="exact"/>
              <w:widowControl w:val="off"/>
              <w:rPr>
                <w:color w:val="000000"/>
                <w:sz w:val="24"/>
                <w:szCs w:val="24"/>
                <w:lang w:val="zh-CN" w:bidi="zh-CN"/>
              </w:rPr>
            </w:pPr>
            <w:r>
              <w:rPr>
                <w:rFonts w:ascii="Times New Roman" w:hAnsi="Times New Roman" w:eastAsia="宋体" w:cs="Times New Roman"/>
                <w:color w:val="000000"/>
                <w:sz w:val="24"/>
                <w:szCs w:val="24"/>
                <w:lang w:val="zh-CN" w:bidi="zh-CN"/>
              </w:rPr>
              <w:t xml:space="preserve">②</w:t>
            </w:r>
            <w:r>
              <w:rPr>
                <w:rFonts w:hint="eastAsia" w:ascii="Times New Roman" w:hAnsi="Times New Roman" w:eastAsia="宋体" w:cs="Times New Roman"/>
                <w:color w:val="000000"/>
                <w:sz w:val="24"/>
                <w:szCs w:val="24"/>
                <w:lang w:val="zh-CN" w:bidi="zh-CN"/>
              </w:rPr>
              <w:t xml:space="preserve">有</w:t>
            </w:r>
            <w:r>
              <w:rPr>
                <w:rFonts w:hint="eastAsia"/>
                <w:color w:val="000000"/>
                <w:sz w:val="24"/>
                <w:szCs w:val="24"/>
                <w:lang w:val="zh-CN" w:bidi="zh-CN"/>
              </w:rPr>
              <w:t xml:space="preserve">效的特种设备生产许可证（许可范围须包括电梯制造、安装、维修，子项目包含曳引驱动乘客电梯）。</w:t>
            </w:r>
            <w:r>
              <w:rPr>
                <w:color w:val="000000"/>
                <w:sz w:val="24"/>
                <w:szCs w:val="24"/>
                <w:lang w:val="zh-CN" w:bidi="zh-CN"/>
              </w:rPr>
            </w:r>
            <w:r/>
          </w:p>
          <w:p>
            <w:pPr>
              <w:pStyle w:val="967"/>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rPr>
            </w:pPr>
            <w:r>
              <w:rPr>
                <w:rFonts w:hint="eastAsia"/>
                <w:color w:val="000000"/>
                <w:sz w:val="24"/>
                <w:szCs w:val="24"/>
                <w:lang w:val="zh-CN" w:bidi="zh-CN"/>
              </w:rPr>
              <w:t xml:space="preserve">（</w:t>
            </w:r>
            <w:r>
              <w:rPr>
                <w:rFonts w:hint="eastAsia"/>
                <w:color w:val="000000"/>
                <w:sz w:val="24"/>
                <w:szCs w:val="24"/>
                <w:lang w:bidi="zh-CN"/>
              </w:rPr>
              <w:t xml:space="preserve">2</w:t>
            </w:r>
            <w:r>
              <w:rPr>
                <w:rFonts w:hint="eastAsia"/>
                <w:color w:val="000000"/>
                <w:sz w:val="24"/>
                <w:szCs w:val="24"/>
                <w:lang w:val="zh-CN" w:bidi="zh-CN"/>
              </w:rPr>
              <w:t xml:space="preserve">）</w:t>
            </w:r>
            <w:r>
              <w:rPr>
                <w:rFonts w:hint="eastAsia" w:ascii="宋体" w:hAnsi="宋体"/>
                <w:color w:val="000000"/>
                <w:sz w:val="24"/>
                <w:szCs w:val="24"/>
              </w:rPr>
              <w:t xml:space="preserve">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其许可子项目需包含曳引驱动乘客电梯安装。</w:t>
            </w:r>
            <w:r>
              <w:rPr>
                <w:rFonts w:hint="eastAsia" w:ascii="方正仿宋_GBK" w:hAnsi="方正仿宋_GBK" w:eastAsia="方正仿宋_GBK" w:cs="方正仿宋_GBK"/>
                <w:color w:val="000000"/>
                <w:sz w:val="28"/>
                <w:szCs w:val="28"/>
              </w:rPr>
            </w:r>
            <w:r/>
          </w:p>
        </w:tc>
      </w:tr>
    </w:tbl>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7</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日9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28359007"/>
      <w:r/>
      <w:bookmarkStart w:id="28" w:name="_Toc38985267"/>
      <w:r/>
      <w:bookmarkStart w:id="29" w:name="_Toc28359084"/>
      <w:r/>
      <w:bookmarkStart w:id="30" w:name="_Toc35393625"/>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38985269"/>
      <w:r/>
      <w:bookmarkStart w:id="37" w:name="_Toc28359085"/>
      <w:r/>
      <w:bookmarkStart w:id="38" w:name="_Toc35393627"/>
      <w:r/>
      <w:bookmarkStart w:id="39" w:name="_Toc28359008"/>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67"/>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Start w:id="40" w:name="_Toc28359009"/>
      <w:r/>
      <w:bookmarkStart w:id="41" w:name="_Toc28359086"/>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南师大随园校区敬师楼电梯更换</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 </w:t>
      </w:r>
      <w:r>
        <w:rPr>
          <w:rFonts w:hint="eastAsia" w:ascii="方正仿宋_GBK" w:hAnsi="方正仿宋_GBK" w:eastAsia="方正仿宋_GBK" w:cs="方正仿宋_GBK"/>
          <w:color w:val="000000"/>
          <w:sz w:val="28"/>
          <w:szCs w:val="28"/>
          <w:u w:val="single"/>
        </w:rPr>
        <w:t xml:space="preserve"> 南京市栖霞区文苑路一号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龚孝东</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02585891587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7"/>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67"/>
        <w:ind w:firstLine="560"/>
        <w:spacing w:line="400" w:lineRule="exact"/>
        <w:rPr>
          <w:rFonts w:hint="eastAsia" w:ascii="宋体" w:hAnsi="宋体" w:eastAsia="宋体" w:cs="宋体"/>
          <w:color w:val="000000"/>
          <w:sz w:val="28"/>
          <w:szCs w:val="28"/>
        </w:rPr>
      </w:pPr>
      <w:r/>
      <w:bookmarkStart w:id="42" w:name="_Toc28359087"/>
      <w:r/>
      <w:bookmarkStart w:id="43" w:name="_Toc28359010"/>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 xml:space="preserve">　南京市汉中门大街145号省政务中心二期3楼南区　</w:t>
      </w:r>
      <w:r>
        <w:rPr>
          <w:rFonts w:hint="eastAsia" w:ascii="宋体" w:hAnsi="宋体" w:eastAsia="宋体" w:cs="宋体"/>
          <w:color w:val="000000"/>
          <w:sz w:val="28"/>
          <w:szCs w:val="28"/>
        </w:rPr>
      </w:r>
      <w:r/>
    </w:p>
    <w:p>
      <w:pPr>
        <w:pStyle w:val="967"/>
        <w:ind w:firstLine="56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联系人：</w:t>
      </w:r>
      <w:r>
        <w:rPr>
          <w:rFonts w:hint="eastAsia" w:ascii="宋体" w:hAnsi="宋体" w:eastAsia="宋体" w:cs="宋体"/>
          <w:color w:val="000000"/>
          <w:sz w:val="28"/>
          <w:szCs w:val="28"/>
          <w:u w:val="single"/>
        </w:rPr>
        <w:t xml:space="preserve">  厉彬彬、唐文        </w:t>
      </w:r>
      <w:r>
        <w:rPr>
          <w:rFonts w:hint="eastAsia" w:ascii="宋体" w:hAnsi="宋体" w:eastAsia="宋体" w:cs="宋体"/>
          <w:color w:val="000000"/>
          <w:sz w:val="28"/>
          <w:szCs w:val="28"/>
          <w:u w:val="single"/>
        </w:rPr>
      </w:r>
      <w:r/>
    </w:p>
    <w:p>
      <w:pPr>
        <w:pStyle w:val="967"/>
        <w:ind w:firstLine="560"/>
        <w:spacing w:line="400" w:lineRule="exact"/>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联系方式：</w:t>
      </w:r>
      <w:r>
        <w:rPr>
          <w:rFonts w:hint="eastAsia" w:ascii="宋体" w:hAnsi="宋体" w:eastAsia="宋体" w:cs="宋体"/>
          <w:b w:val="0"/>
          <w:bCs w:val="0"/>
          <w:color w:val="000000"/>
          <w:sz w:val="28"/>
          <w:szCs w:val="28"/>
          <w:u w:val="single"/>
        </w:rPr>
        <w:t xml:space="preserve">　025-83668517/83668519　</w:t>
      </w:r>
      <w:r>
        <w:rPr>
          <w:rFonts w:hint="eastAsia" w:ascii="宋体" w:hAnsi="宋体" w:eastAsia="宋体" w:cs="宋体"/>
          <w:color w:val="000000"/>
          <w:sz w:val="28"/>
          <w:szCs w:val="28"/>
        </w:rPr>
      </w:r>
      <w:r/>
    </w:p>
    <w:p>
      <w:pPr>
        <w:pStyle w:val="96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7"/>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967"/>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967"/>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967"/>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967"/>
        <w:ind w:right="840"/>
        <w:rPr>
          <w:rFonts w:hint="eastAsia" w:ascii="宋体" w:hAnsi="宋体"/>
          <w:color w:val="000000"/>
          <w:sz w:val="24"/>
          <w:szCs w:val="24"/>
        </w:rPr>
      </w:pPr>
      <w:r>
        <w:rPr>
          <w:rFonts w:hint="eastAsia" w:ascii="宋体" w:hAnsi="宋体"/>
          <w:color w:val="000000"/>
          <w:sz w:val="24"/>
          <w:szCs w:val="24"/>
        </w:rPr>
      </w:r>
      <w:r/>
    </w:p>
    <w:p>
      <w:pPr>
        <w:pStyle w:val="967"/>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投标人须知</w:t>
      </w:r>
      <w:r>
        <w:rPr>
          <w:rFonts w:hint="eastAsia" w:ascii="黑体" w:hAnsi="Arial" w:eastAsia="黑体" w:cs="Arial"/>
          <w:color w:val="000000"/>
          <w:sz w:val="44"/>
          <w:szCs w:val="44"/>
        </w:rPr>
      </w:r>
      <w:r/>
    </w:p>
    <w:p>
      <w:pPr>
        <w:pStyle w:val="967"/>
        <w:ind w:firstLine="496"/>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一、总则</w:t>
      </w:r>
      <w:r>
        <w:rPr>
          <w:rFonts w:hint="eastAsia" w:ascii="Times New Roman" w:hAnsi="Times New Roman"/>
          <w:b/>
          <w:bCs/>
          <w:color w:val="000000"/>
          <w:sz w:val="32"/>
          <w:szCs w:val="32"/>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1、招标方式</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2、合格的投标人</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lang w:eastAsia="zh-CN"/>
        </w:rPr>
        <w:outlineLvl w:val="3"/>
      </w:pPr>
      <w:r>
        <w:rPr>
          <w:rFonts w:hint="eastAsia" w:ascii="Arial" w:hAnsi="Arial" w:eastAsia="黑体" w:cs="Arial"/>
          <w:color w:val="000000"/>
          <w:sz w:val="28"/>
          <w:szCs w:val="28"/>
        </w:rPr>
        <w:t xml:space="preserve">3、适用法律</w:t>
      </w:r>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6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67"/>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67"/>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6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67"/>
        <w:ind w:firstLine="320"/>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二、招标文件</w:t>
      </w:r>
      <w:r>
        <w:rPr>
          <w:rFonts w:hint="eastAsia" w:ascii="Times New Roman" w:hAnsi="Times New Roman"/>
          <w:b/>
          <w:bCs/>
          <w:color w:val="000000"/>
          <w:sz w:val="32"/>
          <w:szCs w:val="32"/>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6、招标文件构成</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6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6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6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6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67"/>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6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67"/>
        <w:ind w:firstLine="560"/>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6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6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67"/>
        <w:ind w:firstLine="480"/>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三、投标文件的编制</w:t>
      </w:r>
      <w:r>
        <w:rPr>
          <w:rFonts w:hint="eastAsia" w:ascii="Times New Roman" w:hAnsi="Times New Roman"/>
          <w:b/>
          <w:bCs/>
          <w:color w:val="000000"/>
          <w:sz w:val="32"/>
          <w:szCs w:val="32"/>
        </w:rPr>
      </w:r>
      <w:r/>
    </w:p>
    <w:p>
      <w:pPr>
        <w:pStyle w:val="967"/>
        <w:ind w:firstLine="560"/>
        <w:keepLines/>
        <w:keepNext/>
        <w:spacing w:line="400" w:lineRule="exact"/>
        <w:rPr>
          <w:rFonts w:hint="eastAsia" w:ascii="Arial" w:hAnsi="Arial" w:eastAsia="黑体" w:cs="Arial"/>
          <w:b/>
          <w:color w:val="000000"/>
          <w:sz w:val="28"/>
          <w:szCs w:val="28"/>
        </w:rPr>
        <w:outlineLvl w:val="3"/>
      </w:pP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r>
        <w:rPr>
          <w:rFonts w:hint="eastAsia" w:ascii="Arial" w:hAnsi="Arial" w:eastAsia="黑体" w:cs="Arial"/>
          <w:b/>
          <w:color w:val="000000"/>
          <w:sz w:val="28"/>
          <w:szCs w:val="28"/>
        </w:rPr>
      </w:r>
      <w:r/>
    </w:p>
    <w:p>
      <w:pPr>
        <w:pStyle w:val="96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r>
        <w:rPr>
          <w:rFonts w:hint="eastAsia" w:ascii="Arial" w:hAnsi="Arial" w:eastAsia="黑体" w:cs="Arial"/>
          <w:color w:val="000000"/>
          <w:sz w:val="28"/>
          <w:szCs w:val="28"/>
        </w:rPr>
      </w:r>
      <w:r/>
    </w:p>
    <w:p>
      <w:pPr>
        <w:pStyle w:val="967"/>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投标人按照招标文件规定格式填报投标分项报价表。</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967"/>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67"/>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r>
        <w:rPr>
          <w:rFonts w:hint="eastAsia" w:ascii="Arial"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67"/>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r>
        <w:rPr>
          <w:rFonts w:hint="eastAsia" w:ascii="Times New Roman" w:hAnsi="Times New Roman"/>
          <w:b/>
          <w:bCs/>
          <w:color w:val="000000"/>
          <w:sz w:val="32"/>
          <w:szCs w:val="32"/>
        </w:rPr>
      </w:r>
      <w:r/>
    </w:p>
    <w:p>
      <w:pPr>
        <w:pStyle w:val="967"/>
        <w:ind w:firstLine="420"/>
        <w:keepLines/>
        <w:keepNext/>
        <w:spacing w:line="400" w:lineRule="exact"/>
        <w:rPr>
          <w:rFonts w:hint="eastAsia" w:ascii="黑体"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投标文件的递交</w:t>
      </w:r>
      <w:r>
        <w:rPr>
          <w:rFonts w:hint="eastAsia" w:ascii="黑体" w:hAnsi="Arial" w:eastAsia="黑体" w:cs="Arial"/>
          <w:color w:val="000000"/>
          <w:sz w:val="28"/>
          <w:szCs w:val="28"/>
        </w:rPr>
      </w:r>
      <w:r/>
    </w:p>
    <w:p>
      <w:pPr>
        <w:pStyle w:val="96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6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r>
        <w:rPr>
          <w:rFonts w:ascii="宋体" w:hAnsi="宋体"/>
          <w:bCs/>
          <w:color w:val="000000"/>
          <w:sz w:val="24"/>
          <w:szCs w:val="21"/>
        </w:rPr>
      </w:r>
      <w:r/>
    </w:p>
    <w:p>
      <w:pPr>
        <w:pStyle w:val="96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r>
        <w:rPr>
          <w:rFonts w:hint="eastAsia" w:ascii="宋体" w:hAnsi="宋体" w:eastAsia="黑体" w:cs="Arial"/>
          <w:bCs/>
          <w:color w:val="000000"/>
          <w:sz w:val="24"/>
          <w:szCs w:val="28"/>
        </w:rPr>
      </w:r>
      <w:r/>
    </w:p>
    <w:p>
      <w:pPr>
        <w:pStyle w:val="96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、投标文件的拒收</w:t>
      </w:r>
      <w:r>
        <w:rPr>
          <w:rFonts w:hint="eastAsia" w:ascii="Arial"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r>
        <w:rPr>
          <w:rFonts w:hint="eastAsia" w:ascii="Arial" w:hAnsi="Arial" w:eastAsia="黑体" w:cs="Arial"/>
          <w:color w:val="000000"/>
          <w:sz w:val="28"/>
          <w:szCs w:val="28"/>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67"/>
        <w:ind w:firstLine="480"/>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五、开标与评标</w:t>
      </w:r>
      <w:r>
        <w:rPr>
          <w:rFonts w:hint="eastAsia" w:ascii="Times New Roman" w:hAnsi="Times New Roman"/>
          <w:b/>
          <w:bCs/>
          <w:color w:val="000000"/>
          <w:sz w:val="32"/>
          <w:szCs w:val="32"/>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r>
        <w:rPr>
          <w:rFonts w:hint="eastAsia" w:ascii="Arial" w:hAnsi="Arial" w:eastAsia="黑体" w:cs="Arial"/>
          <w:color w:val="000000"/>
          <w:sz w:val="28"/>
          <w:szCs w:val="28"/>
        </w:rPr>
      </w:r>
      <w:r/>
    </w:p>
    <w:p>
      <w:pPr>
        <w:pStyle w:val="967"/>
        <w:ind w:firstLine="480"/>
        <w:spacing w:line="40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96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96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6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6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6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r>
        <w:rPr>
          <w:rFonts w:hint="eastAsia" w:ascii="Arial" w:hAnsi="Arial" w:eastAsia="黑体" w:cs="Arial"/>
          <w:color w:val="000000"/>
          <w:sz w:val="28"/>
          <w:szCs w:val="28"/>
        </w:rPr>
      </w:r>
      <w:r/>
    </w:p>
    <w:p>
      <w:pPr>
        <w:pStyle w:val="967"/>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rPr>
          <w:rFonts w:hint="eastAsia" w:ascii="Arial" w:hAnsi="Arial" w:eastAsia="黑体" w:cs="Arial"/>
          <w:color w:val="000000"/>
          <w:sz w:val="28"/>
          <w:szCs w:val="28"/>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6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6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6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6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67"/>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6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6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67"/>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ascii="宋体" w:hAnsi="宋体"/>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rPr>
          <w:rFonts w:hint="eastAsia" w:ascii="方正魏碑_GBK" w:hAnsi="方正魏碑_GBK" w:eastAsia="方正魏碑_GBK" w:cs="方正魏碑_GBK"/>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96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967"/>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967"/>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96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96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96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6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6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6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67"/>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color w:val="000000"/>
          <w:sz w:val="24"/>
          <w:szCs w:val="21"/>
        </w:rPr>
      </w:r>
      <w:r/>
    </w:p>
    <w:p>
      <w:pPr>
        <w:pStyle w:val="967"/>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67"/>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26.1.13 投标人所投标产品不符合招标文件中所列国家强制性标准的。</w:t>
      </w:r>
      <w:r>
        <w:rPr>
          <w:rFonts w:hint="eastAsia" w:ascii="宋体" w:hAnsi="宋体" w:eastAsia="宋体" w:cs="Times New Roman"/>
          <w:color w:val="000000"/>
          <w:sz w:val="24"/>
          <w:szCs w:val="21"/>
          <w:lang w:val="en-US" w:eastAsia="zh-CN"/>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67"/>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6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67"/>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6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6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67"/>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67"/>
        <w:ind w:left="478"/>
        <w:spacing w:line="400" w:lineRule="exact"/>
        <w:rPr>
          <w:rFonts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lang w:val="en-US" w:eastAsia="zh-CN"/>
        </w:rPr>
        <w:t xml:space="preserve">  </w:t>
      </w:r>
      <w:r>
        <w:rPr>
          <w:rFonts w:ascii="宋体" w:hAnsi="宋体" w:eastAsia="宋体"/>
          <w:bCs/>
          <w:color w:val="000000"/>
          <w:sz w:val="24"/>
          <w:szCs w:val="21"/>
          <w:lang w:val="en-US" w:eastAsia="zh-CN"/>
        </w:rPr>
      </w:r>
      <w:r/>
    </w:p>
    <w:p>
      <w:pPr>
        <w:pStyle w:val="96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67"/>
        <w:ind w:firstLine="480"/>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六、定标</w:t>
      </w:r>
      <w:r>
        <w:rPr>
          <w:rFonts w:hint="eastAsia" w:ascii="Times New Roman" w:hAnsi="Times New Roman"/>
          <w:b/>
          <w:bCs/>
          <w:color w:val="000000"/>
          <w:sz w:val="32"/>
          <w:szCs w:val="32"/>
        </w:rPr>
      </w:r>
      <w:r/>
    </w:p>
    <w:p>
      <w:pPr>
        <w:pStyle w:val="96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、确定中标单位</w:t>
      </w:r>
      <w:r>
        <w:rPr>
          <w:rFonts w:hint="eastAsia" w:ascii="黑体" w:hAnsi="宋体" w:eastAsia="黑体"/>
          <w:bCs/>
          <w:color w:val="000000"/>
          <w:sz w:val="30"/>
          <w:szCs w:val="30"/>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6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6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6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6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r>
        <w:rPr>
          <w:rFonts w:hint="eastAsia" w:ascii="黑体" w:hAnsi="宋体" w:eastAsia="黑体"/>
          <w:bCs/>
          <w:color w:val="000000"/>
          <w:sz w:val="30"/>
          <w:szCs w:val="30"/>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67"/>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67"/>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6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6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6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67"/>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96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67"/>
        <w:keepLines/>
        <w:keepNext/>
        <w:spacing w:before="156" w:after="156" w:line="4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七、授予合同</w:t>
      </w:r>
      <w:r>
        <w:rPr>
          <w:rFonts w:hint="eastAsia" w:ascii="Times New Roman" w:hAnsi="Times New Roman"/>
          <w:b/>
          <w:bCs/>
          <w:color w:val="000000"/>
          <w:sz w:val="32"/>
          <w:szCs w:val="32"/>
        </w:rPr>
      </w:r>
      <w:r/>
    </w:p>
    <w:p>
      <w:pPr>
        <w:pStyle w:val="96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6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6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6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6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6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67"/>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67"/>
        <w:ind w:firstLine="420"/>
        <w:spacing w:line="400" w:lineRule="exact"/>
        <w:rPr>
          <w:rFonts w:hint="eastAsia" w:ascii="Times New Roman" w:hAnsi="Times New Roman"/>
          <w:color w:val="000000"/>
          <w:szCs w:val="21"/>
        </w:rPr>
      </w:pPr>
      <w:r>
        <w:rPr>
          <w:rFonts w:hint="eastAsia" w:ascii="宋体" w:hAnsi="宋体"/>
          <w:bCs/>
          <w:color w:val="000000"/>
          <w:sz w:val="24"/>
          <w:szCs w:val="24"/>
        </w:rPr>
        <w:t xml:space="preserve">中标供应商可凭政府采购合同办理融资贷款，详情请见江苏政府采购网“政采贷”专栏。</w:t>
      </w:r>
      <w:bookmarkEnd w:id="1"/>
      <w:r/>
      <w:bookmarkEnd w:id="2"/>
      <w:r/>
      <w:bookmarkEnd w:id="3"/>
      <w:r/>
      <w:bookmarkEnd w:id="4"/>
      <w:r/>
      <w:bookmarkEnd w:id="5"/>
      <w:r/>
      <w:bookmarkEnd w:id="44"/>
      <w:r/>
      <w:bookmarkStart w:id="45" w:name="_Toc16938558"/>
      <w:r/>
      <w:bookmarkStart w:id="46" w:name="_Toc513029242"/>
      <w:r/>
      <w:bookmarkStart w:id="47" w:name="_Toc20823314"/>
      <w:r/>
      <w:bookmarkStart w:id="48" w:name="_Toc120614221"/>
      <w:r/>
      <w:bookmarkStart w:id="49" w:name="_Toc479757207"/>
      <w:r>
        <w:rPr>
          <w:rFonts w:hint="eastAsia" w:ascii="Times New Roman" w:hAnsi="Times New Roman"/>
          <w:color w:val="000000"/>
          <w:szCs w:val="21"/>
        </w:rPr>
      </w:r>
      <w:r/>
    </w:p>
    <w:p>
      <w:pPr>
        <w:pStyle w:val="96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67"/>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67"/>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t xml:space="preserve">第三章  合同</w:t>
      </w:r>
      <w:bookmarkEnd w:id="45"/>
      <w:r/>
      <w:bookmarkEnd w:id="46"/>
      <w:r/>
      <w:bookmarkEnd w:id="47"/>
      <w:r/>
      <w:bookmarkEnd w:id="48"/>
      <w:r/>
      <w:bookmarkEnd w:id="49"/>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67"/>
        <w:spacing w:line="400" w:lineRule="exact"/>
        <w:rPr>
          <w:rFonts w:ascii="宋体" w:hAnsi="宋体"/>
          <w:bCs/>
          <w:color w:val="000000"/>
          <w:sz w:val="28"/>
          <w:szCs w:val="28"/>
          <w:highlight w:val="yellow"/>
        </w:rPr>
      </w:pPr>
      <w:r/>
      <w:bookmarkStart w:id="50" w:name="_Toc16938559"/>
      <w:r/>
      <w:bookmarkStart w:id="51" w:name="_Toc20823315"/>
      <w:r/>
      <w:bookmarkStart w:id="52" w:name="_Toc3995"/>
      <w:r/>
      <w:bookmarkStart w:id="53" w:name="_Toc513029243"/>
      <w:r/>
      <w:bookmarkStart w:id="54" w:name="_Hlt16619350"/>
      <w:r/>
      <w:bookmarkStart w:id="55" w:name="_Toc20823346"/>
      <w:r/>
      <w:bookmarkStart w:id="56" w:name="_Toc16938590"/>
      <w:r/>
      <w:bookmarkStart w:id="57" w:name="_Toc120614244"/>
      <w:r/>
      <w:bookmarkStart w:id="58" w:name="_Toc462564139"/>
      <w:r/>
      <w:bookmarkStart w:id="59" w:name="_Toc479757211"/>
      <w:r>
        <w:rPr>
          <w:rFonts w:ascii="宋体" w:hAnsi="宋体"/>
          <w:bCs/>
          <w:color w:val="000000"/>
          <w:sz w:val="28"/>
          <w:szCs w:val="28"/>
          <w:highlight w:val="yellow"/>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yellow"/>
        </w:rPr>
      </w:pPr>
      <w:r>
        <w:rPr>
          <w:rFonts w:hint="eastAsia" w:ascii="方正仿宋_GBK" w:hAnsi="方正仿宋_GBK" w:eastAsia="方正仿宋_GBK" w:cs="方正仿宋_GBK"/>
          <w:b w:val="0"/>
          <w:bCs/>
          <w:color w:val="000000"/>
          <w:sz w:val="28"/>
          <w:szCs w:val="28"/>
          <w:highlight w:val="yellow"/>
        </w:rPr>
      </w:r>
      <w:r/>
    </w:p>
    <w:p>
      <w:pPr>
        <w:pStyle w:val="967"/>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98"/>
        <w:jc w:val="center"/>
        <w:rPr>
          <w:rFonts w:ascii="宋体" w:hAnsi="宋体" w:eastAsia="宋体" w:cs="宋体"/>
          <w:b/>
          <w:bCs/>
          <w:color w:val="000000"/>
          <w:spacing w:val="-20"/>
          <w:sz w:val="28"/>
          <w:szCs w:val="28"/>
        </w:rPr>
      </w:pPr>
      <w:r/>
      <w:bookmarkEnd w:id="50"/>
      <w:r/>
      <w:bookmarkEnd w:id="51"/>
      <w:r/>
      <w:bookmarkEnd w:id="52"/>
      <w:r/>
      <w:bookmarkEnd w:id="53"/>
      <w:r>
        <w:rPr>
          <w:rFonts w:ascii="宋体" w:hAnsi="宋体" w:eastAsia="宋体" w:cs="宋体"/>
          <w:b/>
          <w:bCs/>
          <w:color w:val="000000"/>
          <w:spacing w:val="-20"/>
          <w:sz w:val="28"/>
          <w:szCs w:val="28"/>
        </w:rPr>
      </w:r>
      <w:r/>
    </w:p>
    <w:p>
      <w:pPr>
        <w:pStyle w:val="998"/>
        <w:jc w:val="center"/>
        <w:rPr>
          <w:rFonts w:ascii="宋体" w:hAnsi="宋体" w:eastAsia="宋体" w:cs="宋体"/>
          <w:b w:val="0"/>
          <w:bCs w:val="0"/>
          <w:color w:val="000000"/>
          <w:spacing w:val="-20"/>
          <w:sz w:val="28"/>
          <w:szCs w:val="28"/>
        </w:rPr>
      </w:pPr>
      <w:r>
        <w:rPr>
          <w:rFonts w:ascii="宋体" w:hAnsi="宋体" w:eastAsia="宋体" w:cs="宋体"/>
          <w:b w:val="0"/>
          <w:bCs w:val="0"/>
          <w:color w:val="000000"/>
          <w:spacing w:val="-20"/>
          <w:sz w:val="28"/>
          <w:szCs w:val="28"/>
        </w:rPr>
      </w:r>
      <w:r/>
    </w:p>
    <w:p>
      <w:pPr>
        <w:pStyle w:val="998"/>
        <w:jc w:val="center"/>
        <w:keepLines w:val="0"/>
        <w:keepNext w:val="0"/>
        <w:pageBreakBefore w:val="0"/>
        <w:spacing w:line="66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财政部 政府采购货物买卖合同（试行）</w:t>
      </w:r>
      <w:r>
        <w:rPr>
          <w:rFonts w:hint="eastAsia" w:ascii="方正黑体_GBK" w:hAnsi="方正黑体_GBK" w:eastAsia="方正黑体_GBK" w:cs="方正黑体_GBK"/>
          <w:b w:val="0"/>
          <w:bCs w:val="0"/>
          <w:color w:val="000000"/>
          <w:spacing w:val="-20"/>
          <w:sz w:val="28"/>
          <w:szCs w:val="28"/>
        </w:rPr>
      </w:r>
      <w:r/>
    </w:p>
    <w:p>
      <w:pPr>
        <w:pStyle w:val="998"/>
        <w:jc w:val="center"/>
        <w:keepLines w:val="0"/>
        <w:keepNext w:val="0"/>
        <w:pageBreakBefore w:val="0"/>
        <w:spacing w:line="66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范    本</w:t>
      </w:r>
      <w:r>
        <w:rPr>
          <w:rFonts w:hint="eastAsia" w:ascii="方正黑体_GBK" w:hAnsi="方正黑体_GBK" w:eastAsia="方正黑体_GBK" w:cs="方正黑体_GBK"/>
          <w:b w:val="0"/>
          <w:bCs w:val="0"/>
          <w:color w:val="000000"/>
          <w:spacing w:val="-20"/>
          <w:sz w:val="28"/>
          <w:szCs w:val="28"/>
        </w:rPr>
      </w:r>
      <w:r/>
    </w:p>
    <w:p>
      <w:pPr>
        <w:pStyle w:val="967"/>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67"/>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67"/>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67"/>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67"/>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合同编号：</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u w:val="single"/>
        </w:rPr>
      </w:r>
      <w:r/>
    </w:p>
    <w:p>
      <w:pPr>
        <w:pStyle w:val="967"/>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甲    方：</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67"/>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乙    方：</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u w:val="single"/>
        </w:rPr>
      </w:r>
      <w:r/>
    </w:p>
    <w:p>
      <w:pPr>
        <w:pStyle w:val="967"/>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签订时间：</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67"/>
        <w:rPr>
          <w:color w:val="000000"/>
          <w:sz w:val="28"/>
          <w:szCs w:val="28"/>
        </w:rPr>
      </w:pPr>
      <w:r>
        <w:rPr>
          <w:color w:val="000000"/>
          <w:sz w:val="28"/>
          <w:szCs w:val="28"/>
        </w:rPr>
      </w:r>
      <w:r/>
    </w:p>
    <w:p>
      <w:pPr>
        <w:pStyle w:val="967"/>
        <w:rPr>
          <w:rFonts w:eastAsia="黑体"/>
          <w:color w:val="000000"/>
          <w:sz w:val="28"/>
          <w:szCs w:val="28"/>
        </w:rPr>
      </w:pPr>
      <w:r>
        <w:rPr>
          <w:rFonts w:eastAsia="黑体"/>
          <w:color w:val="000000"/>
          <w:sz w:val="28"/>
          <w:szCs w:val="28"/>
        </w:rPr>
      </w:r>
      <w:r/>
    </w:p>
    <w:p>
      <w:pPr>
        <w:pStyle w:val="967"/>
        <w:rPr>
          <w:rFonts w:eastAsia="黑体"/>
          <w:color w:val="000000"/>
          <w:sz w:val="28"/>
          <w:szCs w:val="28"/>
        </w:rPr>
      </w:pPr>
      <w:r>
        <w:rPr>
          <w:rFonts w:eastAsia="黑体"/>
          <w:color w:val="000000"/>
          <w:sz w:val="28"/>
          <w:szCs w:val="28"/>
        </w:rPr>
      </w:r>
      <w:r/>
    </w:p>
    <w:p>
      <w:pPr>
        <w:pStyle w:val="967"/>
        <w:rPr>
          <w:rFonts w:eastAsia="黑体"/>
          <w:color w:val="000000"/>
          <w:sz w:val="28"/>
          <w:szCs w:val="28"/>
        </w:rPr>
      </w:pPr>
      <w:r>
        <w:rPr>
          <w:rFonts w:eastAsia="黑体"/>
          <w:color w:val="000000"/>
          <w:sz w:val="28"/>
          <w:szCs w:val="28"/>
        </w:rPr>
      </w:r>
      <w:r/>
    </w:p>
    <w:p>
      <w:pPr>
        <w:pStyle w:val="967"/>
        <w:rPr>
          <w:rFonts w:eastAsia="黑体"/>
          <w:color w:val="000000"/>
          <w:sz w:val="28"/>
          <w:szCs w:val="28"/>
        </w:rPr>
      </w:pPr>
      <w:r>
        <w:rPr>
          <w:rFonts w:eastAsia="黑体"/>
          <w:color w:val="000000"/>
          <w:sz w:val="28"/>
          <w:szCs w:val="28"/>
        </w:rPr>
      </w:r>
      <w:r/>
    </w:p>
    <w:p>
      <w:pPr>
        <w:pStyle w:val="967"/>
        <w:rPr>
          <w:rFonts w:eastAsia="黑体"/>
          <w:color w:val="000000"/>
          <w:sz w:val="28"/>
          <w:szCs w:val="28"/>
        </w:rPr>
      </w:pPr>
      <w:r>
        <w:rPr>
          <w:rFonts w:eastAsia="黑体"/>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使 用 说 明</w:t>
      </w:r>
      <w:r>
        <w:rPr>
          <w:rFonts w:hint="eastAsia" w:ascii="方正黑体_GBK" w:hAnsi="方正黑体_GBK" w:eastAsia="方正黑体_GBK" w:cs="方正黑体_GBK"/>
          <w:color w:val="000000"/>
          <w:sz w:val="28"/>
          <w:szCs w:val="28"/>
        </w:rPr>
      </w:r>
      <w:r/>
    </w:p>
    <w:p>
      <w:pPr>
        <w:pStyle w:val="967"/>
        <w:ind w:firstLine="560"/>
        <w:keepLines w:val="0"/>
        <w:keepNext w:val="0"/>
        <w:pageBreakBefore w:val="0"/>
        <w:spacing w:line="400" w:lineRule="exact"/>
        <w:widowControl w:val="off"/>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67"/>
        <w:ind w:firstLine="560"/>
        <w:rPr>
          <w:rFonts w:eastAsia="黑体"/>
          <w:color w:val="000000"/>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rPr>
      </w:r>
      <w:r/>
    </w:p>
    <w:p>
      <w:pPr>
        <w:pStyle w:val="969"/>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69"/>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67"/>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67"/>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67"/>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67"/>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67"/>
        <w:spacing w:line="400" w:lineRule="exact"/>
        <w:rPr>
          <w:color w:val="000000"/>
        </w:rPr>
      </w:pPr>
      <w:r>
        <w:rPr>
          <w:color w:val="000000"/>
        </w:rPr>
      </w:r>
      <w:r/>
    </w:p>
    <w:p>
      <w:pPr>
        <w:pStyle w:val="1000"/>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1000"/>
        <w:numPr>
          <w:ilvl w:val="0"/>
          <w:numId w:val="5"/>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1000"/>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采购采购编号：</w:t>
      </w:r>
      <w:r>
        <w:rPr>
          <w:rFonts w:ascii="宋体" w:hAnsi="宋体"/>
          <w:color w:val="000000"/>
          <w:szCs w:val="21"/>
          <w:u w:val="single"/>
        </w:rPr>
        <w:t xml:space="preserve">                                          </w:t>
      </w:r>
      <w:r>
        <w:rPr>
          <w:rFonts w:ascii="宋体" w:hAnsi="宋体"/>
          <w:color w:val="000000"/>
          <w:szCs w:val="21"/>
        </w:rPr>
      </w:r>
      <w:r/>
    </w:p>
    <w:p>
      <w:pPr>
        <w:pStyle w:val="1000"/>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67"/>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67"/>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67"/>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67"/>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7"/>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80"/>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8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108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8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108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80"/>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80"/>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67"/>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67"/>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67"/>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67"/>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67"/>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67"/>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67"/>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67"/>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67"/>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67"/>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67"/>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1080"/>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67"/>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67"/>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7"/>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67"/>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67"/>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67"/>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67"/>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67"/>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67"/>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67"/>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67"/>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67"/>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1080"/>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80"/>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67"/>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1080"/>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67"/>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967"/>
        <w:ind w:firstLine="840"/>
        <w:spacing w:line="400" w:lineRule="exact"/>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hint="eastAsia" w:ascii="宋体" w:hAnsi="宋体"/>
          <w:color w:val="000000"/>
          <w:szCs w:val="21"/>
        </w:rPr>
      </w:r>
      <w:r/>
    </w:p>
    <w:p>
      <w:pPr>
        <w:pStyle w:val="967"/>
        <w:ind w:firstLine="420"/>
        <w:spacing w:line="460" w:lineRule="exact"/>
        <w:rPr>
          <w:rFonts w:hint="eastAsia" w:ascii="宋体" w:hAnsi="宋体" w:cs="宋体"/>
          <w:color w:val="000000"/>
          <w:sz w:val="24"/>
          <w:szCs w:val="24"/>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12）</w:t>
      </w:r>
      <w:r>
        <w:rPr>
          <w:rFonts w:hint="eastAsia" w:ascii="宋体" w:hAnsi="宋体" w:cs="宋体"/>
          <w:color w:val="000000"/>
          <w:sz w:val="24"/>
          <w:szCs w:val="24"/>
        </w:rPr>
        <w:t xml:space="preserve">旧电梯拆除回收报价（扣除拆除人工及运费）</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1681"/>
        <w:gridCol w:w="2280"/>
      </w:tblGrid>
      <w:tr>
        <w:trPr/>
        <w:tc>
          <w:tcPr>
            <w:tcW w:w="2130" w:type="dxa"/>
            <w:vAlign w:val="top"/>
            <w:textDirection w:val="lrTb"/>
            <w:noWrap w:val="false"/>
          </w:tcPr>
          <w:p>
            <w:pPr>
              <w:pStyle w:val="967"/>
              <w:ind w:firstLine="0"/>
              <w:spacing w:line="460" w:lineRule="exact"/>
              <w:rPr>
                <w:rFonts w:ascii="宋体" w:hAnsi="宋体" w:cs="宋体"/>
                <w:color w:val="000000"/>
                <w:sz w:val="24"/>
                <w:szCs w:val="24"/>
              </w:rPr>
            </w:pPr>
            <w:r>
              <w:rPr>
                <w:rFonts w:hint="eastAsia" w:ascii="宋体" w:hAnsi="宋体" w:cs="宋体"/>
                <w:color w:val="000000"/>
                <w:sz w:val="24"/>
                <w:szCs w:val="24"/>
              </w:rPr>
              <w:t xml:space="preserve">旧电梯回收</w:t>
            </w:r>
            <w:r>
              <w:rPr>
                <w:rFonts w:ascii="宋体" w:hAnsi="宋体" w:cs="宋体"/>
                <w:color w:val="000000"/>
                <w:sz w:val="24"/>
                <w:szCs w:val="24"/>
              </w:rPr>
            </w:r>
            <w:r/>
          </w:p>
        </w:tc>
        <w:tc>
          <w:tcPr>
            <w:tcW w:w="2130" w:type="dxa"/>
            <w:vAlign w:val="top"/>
            <w:textDirection w:val="lrTb"/>
            <w:noWrap w:val="false"/>
          </w:tcPr>
          <w:p>
            <w:pPr>
              <w:pStyle w:val="967"/>
              <w:ind w:firstLine="0"/>
              <w:spacing w:line="460" w:lineRule="exact"/>
              <w:rPr>
                <w:rFonts w:ascii="宋体" w:hAnsi="宋体" w:cs="宋体"/>
                <w:color w:val="000000"/>
                <w:sz w:val="24"/>
                <w:szCs w:val="24"/>
              </w:rPr>
            </w:pPr>
            <w:r>
              <w:rPr>
                <w:rFonts w:hint="eastAsia" w:ascii="宋体" w:hAnsi="宋体" w:cs="宋体"/>
                <w:color w:val="000000"/>
                <w:sz w:val="24"/>
                <w:szCs w:val="24"/>
              </w:rPr>
              <w:t xml:space="preserve">2台（7/7/7）</w:t>
            </w:r>
            <w:r>
              <w:rPr>
                <w:rFonts w:ascii="宋体" w:hAnsi="宋体" w:cs="宋体"/>
                <w:color w:val="000000"/>
                <w:sz w:val="24"/>
                <w:szCs w:val="24"/>
              </w:rPr>
            </w:r>
            <w:r/>
          </w:p>
        </w:tc>
        <w:tc>
          <w:tcPr>
            <w:tcW w:w="1681" w:type="dxa"/>
            <w:vAlign w:val="top"/>
            <w:textDirection w:val="lrTb"/>
            <w:noWrap w:val="false"/>
          </w:tcPr>
          <w:p>
            <w:pPr>
              <w:pStyle w:val="967"/>
              <w:ind w:firstLine="0"/>
              <w:spacing w:line="460" w:lineRule="exact"/>
              <w:rPr>
                <w:rFonts w:ascii="宋体" w:hAnsi="宋体" w:cs="宋体"/>
                <w:color w:val="000000"/>
                <w:sz w:val="24"/>
                <w:szCs w:val="24"/>
              </w:rPr>
            </w:pPr>
            <w:r>
              <w:rPr>
                <w:rFonts w:hint="eastAsia" w:ascii="宋体" w:hAnsi="宋体" w:cs="宋体"/>
                <w:color w:val="000000"/>
                <w:sz w:val="24"/>
                <w:szCs w:val="24"/>
              </w:rPr>
              <w:t xml:space="preserve">     元/台</w:t>
            </w:r>
            <w:r>
              <w:rPr>
                <w:rFonts w:ascii="宋体" w:hAnsi="宋体" w:cs="宋体"/>
                <w:color w:val="000000"/>
                <w:sz w:val="24"/>
                <w:szCs w:val="24"/>
              </w:rPr>
            </w:r>
            <w:r/>
          </w:p>
        </w:tc>
        <w:tc>
          <w:tcPr>
            <w:tcW w:w="2280" w:type="dxa"/>
            <w:vAlign w:val="top"/>
            <w:textDirection w:val="lrTb"/>
            <w:noWrap w:val="false"/>
          </w:tcPr>
          <w:p>
            <w:pPr>
              <w:pStyle w:val="967"/>
              <w:ind w:firstLine="0"/>
              <w:spacing w:line="460" w:lineRule="exact"/>
              <w:rPr>
                <w:rFonts w:ascii="宋体" w:hAnsi="宋体" w:cs="宋体"/>
                <w:color w:val="000000"/>
                <w:sz w:val="24"/>
                <w:szCs w:val="24"/>
              </w:rPr>
            </w:pPr>
            <w:r>
              <w:rPr>
                <w:rFonts w:hint="eastAsia" w:ascii="宋体" w:hAnsi="宋体" w:cs="宋体"/>
                <w:color w:val="000000"/>
                <w:sz w:val="24"/>
                <w:szCs w:val="24"/>
              </w:rPr>
              <w:t xml:space="preserve">合计       元</w:t>
            </w:r>
            <w:r>
              <w:rPr>
                <w:rFonts w:ascii="宋体" w:hAnsi="宋体" w:cs="宋体"/>
                <w:color w:val="000000"/>
                <w:sz w:val="24"/>
                <w:szCs w:val="24"/>
              </w:rPr>
            </w:r>
            <w:r/>
          </w:p>
        </w:tc>
      </w:tr>
    </w:tbl>
    <w:p>
      <w:pPr>
        <w:pStyle w:val="967"/>
        <w:ind w:firstLine="840"/>
        <w:spacing w:line="400" w:lineRule="exact"/>
        <w:rPr>
          <w:rFonts w:ascii="宋体" w:hAnsi="宋体" w:eastAsia="宋体"/>
          <w:color w:val="000000"/>
          <w:szCs w:val="21"/>
          <w:lang w:val="en-US" w:eastAsia="zh-CN"/>
        </w:rPr>
      </w:pPr>
      <w:r>
        <w:rPr>
          <w:rFonts w:ascii="宋体" w:hAnsi="宋体" w:eastAsia="宋体"/>
          <w:color w:val="000000"/>
          <w:szCs w:val="21"/>
          <w:lang w:val="en-US" w:eastAsia="zh-CN"/>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67"/>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67"/>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67"/>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67"/>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67"/>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1048"/>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67"/>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67"/>
        <w:spacing w:line="360" w:lineRule="auto"/>
        <w:rPr>
          <w:rFonts w:hint="eastAsia" w:ascii="宋体" w:hAnsi="宋体" w:cs="宋体"/>
          <w:color w:val="000000"/>
          <w:szCs w:val="21"/>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000000"/>
          <w:szCs w:val="21"/>
          <w:u w:val="single"/>
        </w:rPr>
        <w:t xml:space="preserve"> </w:t>
      </w:r>
      <w:r>
        <w:rPr>
          <w:rFonts w:hint="eastAsia" w:ascii="宋体" w:hAnsi="宋体" w:cs="宋体"/>
          <w:color w:val="000000"/>
          <w:szCs w:val="21"/>
        </w:rPr>
        <w:t xml:space="preserve">1）合同签订后7个工作日内，预付30%合同价款；（2）发货前20天，支付40%合同价款，（3）设备安装调试结束，提交全部报告材料并取得准用证后，支付余下的30%合同价款；（4）上述款项须开增值税专用发票。</w:t>
      </w:r>
      <w:r>
        <w:rPr>
          <w:rFonts w:hint="eastAsia" w:ascii="宋体" w:hAnsi="宋体" w:cs="宋体"/>
          <w:color w:val="000000"/>
          <w:szCs w:val="21"/>
        </w:rPr>
      </w:r>
      <w:r/>
    </w:p>
    <w:p>
      <w:pPr>
        <w:pStyle w:val="967"/>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67"/>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67"/>
        <w:numPr>
          <w:ilvl w:val="0"/>
          <w:numId w:val="4"/>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67"/>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67"/>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7"/>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80"/>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收取履约保证金形式：中</w:t>
      </w:r>
      <w:r>
        <w:rPr>
          <w:rFonts w:hint="eastAsia" w:ascii="宋体" w:hAnsi="宋体" w:eastAsia="宋体" w:cs="Times New Roman"/>
          <w:color w:val="000000"/>
          <w:sz w:val="21"/>
          <w:u w:val="single"/>
        </w:rPr>
        <w:t xml:space="preserve">标后，乙方需交纳中标金额5%的履约保证金，履约保证金在免费质保期满后且经用户单位确认质量、服务无问题的情况下退还（不计息），可以以支票、汇票、本票或者金融机构、担保机构出具的保函等非现金形式提交。</w:t>
      </w:r>
      <w:r>
        <w:rPr>
          <w:rFonts w:hint="eastAsia" w:ascii="宋体" w:hAnsi="宋体" w:eastAsia="宋体" w:cs="Times New Roman"/>
          <w:bCs w:val="0"/>
          <w:color w:val="000000"/>
          <w:sz w:val="21"/>
          <w:u w:val="single"/>
        </w:rPr>
        <w:t xml:space="preserve">  </w:t>
      </w:r>
      <w:r>
        <w:rPr>
          <w:rFonts w:ascii="宋体" w:hAnsi="宋体" w:eastAsia="宋体" w:cs="宋体"/>
          <w:color w:val="000000"/>
          <w:sz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67"/>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67"/>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67"/>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67"/>
        <w:numPr>
          <w:ilvl w:val="0"/>
          <w:numId w:val="6"/>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67"/>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67"/>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67"/>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67"/>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67"/>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67"/>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67"/>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67"/>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67"/>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67"/>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1080"/>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67"/>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67"/>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67"/>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67"/>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1048"/>
        <w:rPr>
          <w:color w:val="000000"/>
          <w:lang w:eastAsia="zh-CN"/>
        </w:rPr>
      </w:pPr>
      <w:r>
        <w:rPr>
          <w:color w:val="000000"/>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967"/>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353" w:type="dxa"/>
            <w:vAlign w:val="center"/>
            <w:textDirection w:val="lrTb"/>
            <w:noWrap w:val="false"/>
          </w:tcPr>
          <w:p>
            <w:pPr>
              <w:pStyle w:val="967"/>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126" w:type="dxa"/>
            <w:vAlign w:val="center"/>
            <w:textDirection w:val="lrTb"/>
            <w:noWrap w:val="false"/>
          </w:tcPr>
          <w:p>
            <w:pPr>
              <w:pStyle w:val="967"/>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1171"/>
        </w:trPr>
        <w:tc>
          <w:tcPr>
            <w:tcW w:w="1126" w:type="dxa"/>
            <w:vAlign w:val="center"/>
            <w:vMerge w:val="restart"/>
            <w:textDirection w:val="lrTb"/>
            <w:noWrap w:val="false"/>
          </w:tcPr>
          <w:p>
            <w:pPr>
              <w:pStyle w:val="967"/>
              <w:jc w:val="center"/>
              <w:spacing w:line="300" w:lineRule="exact"/>
              <w:rPr>
                <w:color w:val="000000"/>
                <w:szCs w:val="21"/>
              </w:rPr>
            </w:pPr>
            <w:r>
              <w:rPr>
                <w:color w:val="000000"/>
                <w:szCs w:val="21"/>
              </w:rPr>
              <w:t xml:space="preserve">法定代表人</w:t>
            </w:r>
            <w:r>
              <w:rPr>
                <w:color w:val="000000"/>
                <w:szCs w:val="21"/>
              </w:rPr>
            </w:r>
            <w:r/>
          </w:p>
          <w:p>
            <w:pPr>
              <w:pStyle w:val="967"/>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436" w:type="dxa"/>
            <w:vAlign w:val="center"/>
            <w:vMerge w:val="restart"/>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法定代表人</w:t>
            </w:r>
            <w:r>
              <w:rPr>
                <w:color w:val="000000"/>
                <w:szCs w:val="21"/>
              </w:rPr>
            </w:r>
            <w:r/>
          </w:p>
          <w:p>
            <w:pPr>
              <w:pStyle w:val="967"/>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259" w:type="dxa"/>
            <w:vAlign w:val="center"/>
            <w:textDirection w:val="lrTb"/>
            <w:noWrap w:val="false"/>
          </w:tcPr>
          <w:p>
            <w:pPr>
              <w:pStyle w:val="967"/>
              <w:jc w:val="center"/>
              <w:spacing w:line="300" w:lineRule="exact"/>
              <w:rPr>
                <w:color w:val="000000"/>
                <w:szCs w:val="21"/>
              </w:rPr>
            </w:pPr>
            <w:r>
              <w:rPr>
                <w:color w:val="000000"/>
                <w:szCs w:val="21"/>
              </w:rPr>
            </w:r>
            <w:r/>
          </w:p>
        </w:tc>
      </w:tr>
      <w:tr>
        <w:trPr>
          <w:trHeight w:val="483"/>
        </w:trPr>
        <w:tc>
          <w:tcPr>
            <w:tcW w:w="1126" w:type="dxa"/>
            <w:vAlign w:val="center"/>
            <w:vMerge w:val="continue"/>
            <w:textDirection w:val="lrTb"/>
            <w:noWrap w:val="false"/>
          </w:tcPr>
          <w:p>
            <w:pPr>
              <w:pStyle w:val="967"/>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拥有者性别</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住  所</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住  所</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t xml:space="preserve">联 系 人</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联 系 人</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t xml:space="preserve">联系电话</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联系电话</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通信地址</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通信地址</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t xml:space="preserve">邮政编码</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邮政编码</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电子邮箱</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电子邮箱</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开户名称</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开户银行</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67"/>
              <w:jc w:val="center"/>
              <w:spacing w:line="300" w:lineRule="exact"/>
              <w:rPr>
                <w:color w:val="000000"/>
                <w:szCs w:val="21"/>
              </w:rPr>
            </w:pPr>
            <w:r>
              <w:rPr>
                <w:color w:val="000000"/>
                <w:szCs w:val="21"/>
              </w:rPr>
            </w:r>
            <w:r/>
          </w:p>
        </w:tc>
        <w:tc>
          <w:tcPr>
            <w:tcW w:w="1436" w:type="dxa"/>
            <w:vAlign w:val="center"/>
            <w:textDirection w:val="lrTb"/>
            <w:noWrap w:val="false"/>
          </w:tcPr>
          <w:p>
            <w:pPr>
              <w:pStyle w:val="967"/>
              <w:jc w:val="center"/>
              <w:spacing w:line="300" w:lineRule="exact"/>
              <w:rPr>
                <w:color w:val="000000"/>
                <w:szCs w:val="21"/>
              </w:rPr>
            </w:pPr>
            <w:r>
              <w:rPr>
                <w:color w:val="000000"/>
                <w:szCs w:val="21"/>
              </w:rPr>
            </w:r>
            <w:r/>
          </w:p>
        </w:tc>
        <w:tc>
          <w:tcPr>
            <w:tcW w:w="1178" w:type="dxa"/>
            <w:vAlign w:val="center"/>
            <w:textDirection w:val="lrTb"/>
            <w:noWrap w:val="false"/>
          </w:tcPr>
          <w:p>
            <w:pPr>
              <w:pStyle w:val="967"/>
              <w:jc w:val="center"/>
              <w:spacing w:line="300" w:lineRule="exact"/>
              <w:rPr>
                <w:color w:val="000000"/>
                <w:szCs w:val="21"/>
              </w:rPr>
            </w:pPr>
            <w:r>
              <w:rPr>
                <w:color w:val="000000"/>
                <w:szCs w:val="21"/>
              </w:rPr>
              <w:t xml:space="preserve">银行账号</w:t>
            </w:r>
            <w:r>
              <w:rPr>
                <w:color w:val="000000"/>
                <w:szCs w:val="21"/>
              </w:rPr>
            </w:r>
            <w:r/>
          </w:p>
        </w:tc>
        <w:tc>
          <w:tcPr>
            <w:tcW w:w="1259" w:type="dxa"/>
            <w:vAlign w:val="center"/>
            <w:textDirection w:val="lrTb"/>
            <w:noWrap w:val="false"/>
          </w:tcPr>
          <w:p>
            <w:pPr>
              <w:pStyle w:val="967"/>
              <w:jc w:val="center"/>
              <w:spacing w:line="300" w:lineRule="exact"/>
              <w:rPr>
                <w:color w:val="000000"/>
                <w:spacing w:val="20"/>
                <w:szCs w:val="21"/>
              </w:rPr>
            </w:pPr>
            <w:r>
              <w:rPr>
                <w:color w:val="000000"/>
                <w:spacing w:val="20"/>
                <w:szCs w:val="21"/>
              </w:rPr>
            </w:r>
            <w:r/>
          </w:p>
        </w:tc>
      </w:tr>
      <w:tr>
        <w:trPr>
          <w:trHeight w:val="586"/>
        </w:trPr>
        <w:tc>
          <w:tcPr>
            <w:gridSpan w:val="4"/>
            <w:tcW w:w="8928" w:type="dxa"/>
            <w:vAlign w:val="center"/>
            <w:textDirection w:val="lrTb"/>
            <w:noWrap w:val="false"/>
          </w:tcPr>
          <w:p>
            <w:pPr>
              <w:pStyle w:val="1000"/>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69"/>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67"/>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6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6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6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6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6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6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7"/>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6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6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67"/>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6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67"/>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67"/>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80"/>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67"/>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1005"/>
        <w:ind w:firstLine="42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1005"/>
        <w:ind w:firstLine="42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967"/>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67"/>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67"/>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67"/>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1080"/>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bCs w:val="0"/>
          <w:color w:val="000000"/>
          <w:szCs w:val="21"/>
        </w:rPr>
        <w:t xml:space="preserve">15.1</w:t>
      </w:r>
      <w:r>
        <w:rPr>
          <w:rFonts w:hint="eastAsia" w:ascii="宋体" w:hAnsi="宋体" w:eastAsia="宋体" w:cs="Times New Roman"/>
          <w:color w:val="000000"/>
          <w:sz w:val="21"/>
          <w:szCs w:val="21"/>
        </w:rPr>
        <w:t xml:space="preserve">以下情况视为供应商违约：</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逾期交货；</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货物不全或与标书所列清单不符；</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未通过验收；</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提供伪劣产品；</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rPr>
        <w:t xml:space="preserve">未按合同规定提供售后服务。</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15.2</w:t>
      </w:r>
      <w:r>
        <w:rPr>
          <w:rFonts w:hint="eastAsia" w:ascii="宋体" w:hAnsi="宋体" w:eastAsia="宋体" w:cs="Times New Roman"/>
          <w:color w:val="000000"/>
          <w:sz w:val="21"/>
          <w:szCs w:val="21"/>
        </w:rPr>
        <w:t xml:space="preserve">违约赔偿：</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除本合同另有规定外，合同双方必须完全履行本合同，否则，应承担相应的违约责任。</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乙方逾期供货的，乙方每日应当按总货款5‰的标准支付给甲方违约金；若此违约金不足以弥补甲方损失的，乙方应当按甲方损失的10%向甲方支付违约金，但此违约金最多不超过合同总金额的5%。逾期交货超过30 日的，甲方有权单方面解除本合同，乙方应向甲方支付货款总额的10％为违约金。</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乙方违反本合同约定擅自发货或者提前到货的，甲方有权拒验货物，乙方承担一切责任。</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甲方未按合同约定期限支付货款的，应就拖欠金额甲方应向乙方支付延误违约金，按每延误一周，金额为合同总金额的5‰，不足一周的以一周计算, 但此违约金最多不超过合同总金额的5%。</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rPr>
        <w:t xml:space="preserve">因为货物的包装、品种、型号、规格、数量等问题致使未通过交货清点的，视为乙方没有交货，因此造成逾期交货的，按照本合同上述逾期交货的有关约定执行。</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rPr>
        <w:t xml:space="preserve">因为产品质量问题致使没有通过验收的，乙方应立即无偿换货并向甲方支付未通过验收部分产品价款的5％违约金，赔偿因此给甲方及第三方（施工方）造成的损失；乙方逾期30日未交送合格产品的，或者因为产品质量问题致使第二次没有通过验收的，乙方应向甲方退还所有已收款项，并赔偿因此给甲方及第三方造成的损失。</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7）</w:t>
      </w:r>
      <w:r>
        <w:rPr>
          <w:rFonts w:hint="eastAsia" w:ascii="宋体" w:hAnsi="宋体" w:eastAsia="宋体" w:cs="Times New Roman"/>
          <w:color w:val="000000"/>
          <w:sz w:val="21"/>
          <w:szCs w:val="21"/>
        </w:rPr>
        <w:t xml:space="preserve">乙方承担因为产品质量问题而给甲方、第三方（包括但不限于施工人员及甲方）造成的一切损失。</w:t>
      </w:r>
      <w:r>
        <w:rPr>
          <w:rFonts w:hint="eastAsia" w:ascii="宋体" w:hAnsi="宋体" w:eastAsia="宋体" w:cs="Times New Roman"/>
          <w:color w:val="000000"/>
          <w:sz w:val="21"/>
          <w:szCs w:val="21"/>
        </w:rPr>
      </w:r>
      <w:r/>
    </w:p>
    <w:p>
      <w:pPr>
        <w:pStyle w:val="967"/>
        <w:ind w:firstLine="420"/>
        <w:jc w:val="left"/>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禁止权利转让：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5%的违约金。</w:t>
      </w:r>
      <w:r>
        <w:rPr>
          <w:rFonts w:hint="eastAsia" w:ascii="宋体" w:hAnsi="宋体" w:eastAsia="宋体" w:cs="Times New Roman"/>
          <w:color w:val="000000"/>
          <w:sz w:val="21"/>
          <w:szCs w:val="21"/>
        </w:rPr>
      </w:r>
      <w:r/>
    </w:p>
    <w:p>
      <w:pPr>
        <w:pStyle w:val="967"/>
        <w:ind w:firstLine="420"/>
        <w:jc w:val="left"/>
        <w:spacing w:line="400" w:lineRule="exact"/>
        <w:rPr>
          <w:rFonts w:ascii="宋体" w:hAnsi="宋体"/>
          <w:bCs/>
          <w:color w:val="000000"/>
          <w:szCs w:val="21"/>
        </w:rPr>
      </w:pPr>
      <w:r>
        <w:rPr>
          <w:rFonts w:hint="eastAsia" w:ascii="宋体" w:hAnsi="宋体"/>
          <w:bCs/>
          <w:color w:val="000000"/>
          <w:szCs w:val="21"/>
          <w:lang w:val="en-US" w:eastAsia="zh-CN"/>
        </w:rPr>
        <w:t xml:space="preserve">15.3</w:t>
      </w:r>
      <w:r>
        <w:rPr>
          <w:rFonts w:hint="eastAsia" w:ascii="宋体" w:hAnsi="宋体"/>
          <w:bCs/>
          <w:color w:val="000000"/>
          <w:szCs w:val="21"/>
        </w:rPr>
        <w:t xml:space="preserve">质量瑕疵的违约责任</w:t>
      </w:r>
      <w:r>
        <w:rPr>
          <w:rFonts w:ascii="宋体" w:hAnsi="宋体"/>
          <w:bCs/>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15.</w:t>
      </w:r>
      <w:r>
        <w:rPr>
          <w:rFonts w:hint="eastAsia" w:ascii="宋体" w:hAnsi="宋体"/>
          <w:color w:val="000000"/>
          <w:szCs w:val="21"/>
          <w:lang w:val="en-US" w:eastAsia="zh-CN"/>
        </w:rPr>
        <w:t xml:space="preserve">4</w:t>
      </w:r>
      <w:r>
        <w:rPr>
          <w:rFonts w:hint="eastAsia" w:ascii="宋体" w:hAnsi="宋体"/>
          <w:color w:val="000000"/>
          <w:szCs w:val="21"/>
        </w:rPr>
        <w:t xml:space="preserve"> 迟延支付的违约责任</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67"/>
        <w:numPr>
          <w:ilvl w:val="0"/>
          <w:numId w:val="9"/>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67"/>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1080"/>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67"/>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67"/>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1080"/>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80"/>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67"/>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67"/>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67"/>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67"/>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67"/>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67"/>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1080"/>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80"/>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67"/>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67"/>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67"/>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67"/>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67"/>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color w:val="000000"/>
              </w:rPr>
            </w:pPr>
            <w:r>
              <w:rPr>
                <w:rFonts w:hint="eastAsia" w:ascii="宋体" w:hAnsi="宋体"/>
                <w:color w:val="000000"/>
                <w:szCs w:val="21"/>
              </w:rPr>
              <w:t xml:space="preserve">第5.4款</w:t>
            </w:r>
            <w:r>
              <w:rPr>
                <w:color w:val="000000"/>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5170" w:type="dxa"/>
            <w:vAlign w:val="center"/>
            <w:textDirection w:val="lrTb"/>
            <w:noWrap w:val="false"/>
          </w:tcPr>
          <w:p>
            <w:pPr>
              <w:pStyle w:val="967"/>
              <w:rPr>
                <w:color w:val="000000"/>
              </w:rPr>
            </w:pPr>
            <w:r>
              <w:rPr>
                <w:color w:val="000000"/>
              </w:rPr>
            </w:r>
            <w:r/>
          </w:p>
        </w:tc>
      </w:tr>
      <w:tr>
        <w:trPr>
          <w:trHeight w:val="667"/>
        </w:trPr>
        <w:tc>
          <w:tcPr>
            <w:tcW w:w="1607" w:type="dxa"/>
            <w:vAlign w:val="center"/>
            <w:vMerge w:val="continue"/>
            <w:textDirection w:val="lrTb"/>
            <w:noWrap w:val="false"/>
          </w:tcPr>
          <w:p>
            <w:pPr>
              <w:pStyle w:val="967"/>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5170" w:type="dxa"/>
            <w:vAlign w:val="center"/>
            <w:textDirection w:val="lrTb"/>
            <w:noWrap w:val="false"/>
          </w:tcPr>
          <w:p>
            <w:pPr>
              <w:pStyle w:val="967"/>
              <w:rPr>
                <w:color w:val="000000"/>
              </w:rPr>
            </w:pPr>
            <w:r>
              <w:rPr>
                <w:color w:val="000000"/>
              </w:rPr>
            </w:r>
            <w:r/>
          </w:p>
        </w:tc>
      </w:tr>
      <w:tr>
        <w:trPr>
          <w:trHeight w:val="772"/>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5170" w:type="dxa"/>
            <w:vAlign w:val="center"/>
            <w:textDirection w:val="lrTb"/>
            <w:noWrap w:val="false"/>
          </w:tcPr>
          <w:p>
            <w:pPr>
              <w:pStyle w:val="967"/>
              <w:rPr>
                <w:color w:val="000000"/>
              </w:rPr>
            </w:pPr>
            <w:r>
              <w:rPr>
                <w:color w:val="000000"/>
              </w:rPr>
            </w:r>
            <w:r/>
          </w:p>
        </w:tc>
      </w:tr>
      <w:tr>
        <w:trPr>
          <w:trHeight w:val="667"/>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5170" w:type="dxa"/>
            <w:vAlign w:val="center"/>
            <w:textDirection w:val="lrTb"/>
            <w:noWrap w:val="false"/>
          </w:tcPr>
          <w:p>
            <w:pPr>
              <w:pStyle w:val="967"/>
              <w:rPr>
                <w:color w:val="000000"/>
              </w:rPr>
            </w:pPr>
            <w:r>
              <w:rPr>
                <w:color w:val="000000"/>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967"/>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67"/>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1080"/>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5170" w:type="dxa"/>
            <w:vAlign w:val="center"/>
            <w:textDirection w:val="lrTb"/>
            <w:noWrap w:val="false"/>
          </w:tcPr>
          <w:p>
            <w:pPr>
              <w:pStyle w:val="967"/>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67"/>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67"/>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1742" w:type="dxa"/>
            <w:vAlign w:val="center"/>
            <w:textDirection w:val="lrTb"/>
            <w:noWrap w:val="false"/>
          </w:tcPr>
          <w:p>
            <w:pPr>
              <w:pStyle w:val="967"/>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5170" w:type="dxa"/>
            <w:vAlign w:val="center"/>
            <w:textDirection w:val="lrTb"/>
            <w:noWrap w:val="false"/>
          </w:tcPr>
          <w:p>
            <w:pPr>
              <w:pStyle w:val="967"/>
              <w:jc w:val="left"/>
              <w:rPr>
                <w:rFonts w:ascii="宋体" w:hAnsi="宋体"/>
                <w:color w:val="000000"/>
                <w:szCs w:val="21"/>
              </w:rPr>
            </w:pPr>
            <w:r>
              <w:rPr>
                <w:rFonts w:ascii="宋体" w:hAnsi="宋体"/>
                <w:color w:val="000000"/>
                <w:szCs w:val="21"/>
              </w:rPr>
            </w:r>
            <w:r/>
          </w:p>
        </w:tc>
      </w:tr>
    </w:tbl>
    <w:p>
      <w:pPr>
        <w:pStyle w:val="969"/>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br w:type="page" w:clear="all"/>
      </w:r>
      <w:r>
        <w:rPr>
          <w:rFonts w:hint="eastAsia" w:ascii="黑体" w:hAnsi="黑体" w:eastAsia="黑体" w:cs="Arial"/>
          <w:b w:val="0"/>
          <w:bCs w:val="0"/>
          <w:color w:val="000000"/>
          <w:sz w:val="28"/>
          <w:szCs w:val="28"/>
        </w:rPr>
        <w:t xml:space="preserve">第</w:t>
      </w:r>
      <w:bookmarkEnd w:id="54"/>
      <w:r>
        <w:rPr>
          <w:rFonts w:hint="eastAsia" w:ascii="黑体" w:hAnsi="黑体" w:eastAsia="黑体" w:cs="Arial"/>
          <w:b w:val="0"/>
          <w:bCs w:val="0"/>
          <w:color w:val="000000"/>
          <w:sz w:val="28"/>
          <w:szCs w:val="28"/>
        </w:rPr>
        <w:t xml:space="preserve">四章 采购需求</w:t>
      </w:r>
      <w:bookmarkEnd w:id="55"/>
      <w:r/>
      <w:bookmarkEnd w:id="56"/>
      <w:r/>
      <w:bookmarkEnd w:id="57"/>
      <w:r>
        <w:rPr>
          <w:rFonts w:hint="eastAsia" w:ascii="黑体" w:hAnsi="黑体" w:eastAsia="黑体" w:cs="Arial"/>
          <w:b w:val="0"/>
          <w:bCs w:val="0"/>
          <w:color w:val="000000"/>
          <w:sz w:val="28"/>
          <w:szCs w:val="28"/>
        </w:rPr>
      </w:r>
      <w:r/>
    </w:p>
    <w:p>
      <w:pPr>
        <w:pStyle w:val="969"/>
        <w:jc w:val="left"/>
        <w:keepLines/>
        <w:keepNext/>
        <w:pageBreakBefore w:val="0"/>
        <w:spacing w:line="400" w:lineRule="exact"/>
        <w:widowControl w:val="off"/>
        <w:rPr>
          <w:rFonts w:hint="eastAsia" w:ascii="黑体" w:hAnsi="黑体" w:eastAsia="黑体" w:cs="Arial"/>
          <w:b w:val="0"/>
          <w:bCs w:val="0"/>
          <w:color w:val="000000"/>
          <w:sz w:val="28"/>
          <w:szCs w:val="28"/>
        </w:rPr>
      </w:pPr>
      <w:r/>
      <w:bookmarkStart w:id="60" w:name="_Toc49090575"/>
      <w:r/>
      <w:bookmarkStart w:id="61" w:name="_Toc26554093"/>
      <w:r>
        <w:rPr>
          <w:rFonts w:hint="eastAsia" w:ascii="黑体" w:hAnsi="黑体" w:eastAsia="黑体" w:cs="Arial"/>
          <w:b w:val="0"/>
          <w:bCs w:val="0"/>
          <w:color w:val="000000"/>
          <w:sz w:val="28"/>
          <w:szCs w:val="28"/>
        </w:rPr>
        <w:t xml:space="preserve">一、采购标的清单</w:t>
      </w:r>
      <w:r>
        <w:rPr>
          <w:rFonts w:hint="eastAsia" w:ascii="黑体" w:hAnsi="黑体" w:eastAsia="黑体" w:cs="Arial"/>
          <w:b w:val="0"/>
          <w:bCs w:val="0"/>
          <w:color w:val="00000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包</w:t>
            </w:r>
            <w:r>
              <w:rPr>
                <w:rFonts w:hint="eastAsia" w:ascii="方正仿宋_GBK" w:hAnsi="方正仿宋_GBK" w:eastAsia="方正仿宋_GBK" w:cs="方正仿宋_GBK"/>
                <w:color w:val="000000"/>
                <w:sz w:val="28"/>
                <w:szCs w:val="28"/>
                <w:lang w:val="en-US" w:eastAsia="zh-CN"/>
              </w:rPr>
              <w:t xml:space="preserve">号</w:t>
            </w:r>
            <w:r>
              <w:rPr>
                <w:rFonts w:hint="eastAsia" w:ascii="方正仿宋_GBK" w:hAnsi="方正仿宋_GBK" w:eastAsia="方正仿宋_GBK" w:cs="方正仿宋_GBK"/>
                <w:color w:val="000000"/>
                <w:sz w:val="28"/>
                <w:szCs w:val="28"/>
                <w:lang w:val="en-US" w:eastAsia="zh-CN"/>
              </w:rPr>
            </w:r>
            <w:r/>
          </w:p>
        </w:tc>
        <w:tc>
          <w:tcPr>
            <w:tcW w:w="1321" w:type="dxa"/>
            <w:vAlign w:val="center"/>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2929" w:type="dxa"/>
            <w:vAlign w:val="center"/>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w:t>
            </w:r>
            <w:r>
              <w:rPr>
                <w:rFonts w:hint="eastAsia" w:ascii="方正仿宋_GBK" w:hAnsi="方正仿宋_GBK" w:eastAsia="方正仿宋_GBK" w:cs="方正仿宋_GBK"/>
                <w:color w:val="000000"/>
                <w:sz w:val="28"/>
                <w:szCs w:val="28"/>
              </w:rPr>
            </w:r>
            <w:r/>
          </w:p>
        </w:tc>
        <w:tc>
          <w:tcPr>
            <w:tcW w:w="2677" w:type="dxa"/>
            <w:vAlign w:val="center"/>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对应中小企业划分标准所属行业</w:t>
            </w:r>
            <w:r>
              <w:rPr>
                <w:rFonts w:hint="eastAsia" w:ascii="方正仿宋_GBK" w:hAnsi="方正仿宋_GBK" w:eastAsia="方正仿宋_GBK" w:cs="方正仿宋_GBK"/>
                <w:color w:val="000000"/>
                <w:sz w:val="28"/>
                <w:szCs w:val="28"/>
              </w:rPr>
            </w:r>
            <w:r/>
          </w:p>
        </w:tc>
      </w:tr>
      <w:tr>
        <w:trPr>
          <w:cantSplit/>
          <w:trHeight w:val="291"/>
        </w:trPr>
        <w:tc>
          <w:tcPr>
            <w:tcW w:w="790" w:type="dxa"/>
            <w:vAlign w:val="top"/>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rPr>
                <w:rFonts w:hint="eastAsia" w:ascii="方正仿宋_GBK" w:hAnsi="方正仿宋_GBK" w:eastAsia="方正仿宋_GBK" w:cs="方正仿宋_GBK"/>
                <w:color w:val="000000"/>
                <w:sz w:val="28"/>
                <w:szCs w:val="28"/>
                <w:lang w:eastAsia="zh-CN"/>
              </w:rPr>
            </w:r>
            <w:r/>
          </w:p>
        </w:tc>
        <w:tc>
          <w:tcPr>
            <w:tcW w:w="1321" w:type="dxa"/>
            <w:vAlign w:val="top"/>
            <w:textDirection w:val="lrTb"/>
            <w:noWrap w:val="false"/>
          </w:tcPr>
          <w:p>
            <w:pPr>
              <w:pStyle w:val="967"/>
              <w:jc w:val="center"/>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29" w:type="dxa"/>
            <w:vAlign w:val="top"/>
            <w:textDirection w:val="lrTb"/>
            <w:noWrap w:val="false"/>
          </w:tcPr>
          <w:p>
            <w:pPr>
              <w:pStyle w:val="967"/>
              <w:jc w:val="center"/>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电梯</w:t>
            </w:r>
            <w:r>
              <w:rPr>
                <w:rFonts w:ascii="方正仿宋_GBK" w:hAnsi="方正仿宋_GBK" w:eastAsia="方正仿宋_GBK" w:cs="方正仿宋_GBK"/>
                <w:color w:val="000000"/>
                <w:sz w:val="28"/>
                <w:szCs w:val="28"/>
                <w:lang w:val="en-US" w:eastAsia="zh-CN"/>
              </w:rPr>
            </w:r>
            <w:r/>
          </w:p>
        </w:tc>
        <w:tc>
          <w:tcPr>
            <w:tcW w:w="2677" w:type="dxa"/>
            <w:vAlign w:val="top"/>
            <w:textDirection w:val="lrTb"/>
            <w:noWrap w:val="false"/>
          </w:tcPr>
          <w:p>
            <w:pPr>
              <w:pStyle w:val="967"/>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工业</w:t>
            </w:r>
            <w:r>
              <w:rPr>
                <w:rFonts w:hint="eastAsia" w:ascii="Times New Roman" w:hAnsi="Times New Roman" w:eastAsia="方正仿宋_GBK" w:cs="Times New Roman"/>
                <w:color w:val="000000"/>
                <w:sz w:val="28"/>
                <w:szCs w:val="28"/>
                <w:lang w:val="en-US" w:eastAsia="zh-CN"/>
              </w:rPr>
            </w:r>
            <w:r/>
          </w:p>
        </w:tc>
      </w:tr>
    </w:tbl>
    <w:p>
      <w:pPr>
        <w:pStyle w:val="969"/>
        <w:jc w:val="left"/>
        <w:keepLines/>
        <w:keepNext/>
        <w:pageBreakBefore w:val="0"/>
        <w:spacing w:line="400" w:lineRule="exact"/>
        <w:widowControl w:val="off"/>
        <w:rPr>
          <w:rFonts w:hint="eastAsia" w:ascii="黑体" w:hAnsi="黑体" w:eastAsia="黑体" w:cs="Arial"/>
          <w:b w:val="0"/>
          <w:bCs w:val="0"/>
          <w:color w:val="000000"/>
          <w:sz w:val="28"/>
          <w:szCs w:val="28"/>
          <w:lang w:val="en-US" w:eastAsia="zh-CN"/>
        </w:rPr>
      </w:pPr>
      <w:r>
        <w:rPr>
          <w:rFonts w:hint="eastAsia" w:ascii="黑体" w:hAnsi="黑体" w:eastAsia="黑体" w:cs="Arial"/>
          <w:b w:val="0"/>
          <w:bCs w:val="0"/>
          <w:color w:val="000000"/>
          <w:sz w:val="28"/>
          <w:szCs w:val="28"/>
          <w:lang w:val="en-US" w:eastAsia="zh-CN"/>
        </w:rPr>
        <w:t xml:space="preserve">二、政府采购中实施本国产品标准及相关政策</w:t>
      </w:r>
      <w:r>
        <w:rPr>
          <w:rFonts w:hint="eastAsia" w:ascii="黑体" w:hAnsi="黑体" w:eastAsia="黑体" w:cs="Arial"/>
          <w:b w:val="0"/>
          <w:bCs w:val="0"/>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67"/>
        <w:jc w:val="left"/>
        <w:spacing w:line="500" w:lineRule="exact"/>
        <w:rPr>
          <w:rFonts w:hint="eastAsia" w:ascii="方正仿宋_GBK" w:hAnsi="方正仿宋_GBK" w:eastAsia="方正仿宋_GBK" w:cs="方正仿宋_GBK"/>
          <w:b/>
          <w:color w:val="000000"/>
          <w:sz w:val="28"/>
          <w:szCs w:val="24"/>
        </w:rPr>
      </w:pPr>
      <w:r/>
      <w:bookmarkStart w:id="62" w:name="_Toc120614281"/>
      <w:r>
        <w:rPr>
          <w:rFonts w:hint="eastAsia" w:ascii="方正仿宋_GBK" w:hAnsi="方正仿宋_GBK" w:eastAsia="方正仿宋_GBK" w:cs="方正仿宋_GBK"/>
          <w:b/>
          <w:color w:val="000000"/>
          <w:sz w:val="28"/>
          <w:szCs w:val="24"/>
        </w:rPr>
        <w:t xml:space="preserve">三、项目需求</w:t>
      </w:r>
      <w:r>
        <w:rPr>
          <w:rFonts w:hint="eastAsia" w:ascii="方正仿宋_GBK" w:hAnsi="方正仿宋_GBK" w:eastAsia="方正仿宋_GBK" w:cs="方正仿宋_GBK"/>
          <w:b/>
          <w:color w:val="000000"/>
          <w:sz w:val="28"/>
          <w:szCs w:val="24"/>
        </w:rPr>
      </w:r>
      <w:r/>
    </w:p>
    <w:p>
      <w:pPr>
        <w:pStyle w:val="967"/>
        <w:ind w:firstLine="420"/>
        <w:jc w:val="left"/>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（一）采购标的需实现的功能或者目标：</w:t>
      </w:r>
      <w:r>
        <w:rPr>
          <w:rFonts w:hint="eastAsia" w:ascii="方正仿宋_GBK" w:hAnsi="方正仿宋_GBK" w:eastAsia="方正仿宋_GBK" w:cs="方正仿宋_GBK"/>
          <w:b/>
          <w:color w:val="000000"/>
          <w:sz w:val="28"/>
          <w:szCs w:val="28"/>
        </w:rPr>
      </w:r>
      <w:r/>
    </w:p>
    <w:p>
      <w:pPr>
        <w:pStyle w:val="967"/>
        <w:ind w:firstLine="42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南京师范大学随园校区敬师楼电梯采购安装，旧梯拆除及回收、井道和机房整改，新电梯设备的供货、安装、调试，并通过市场监督管理部门验收合格领取使用许可证，即交钥匙工程。采购人不负担因投标人对情况考虑不周而产生的其他任何费用。</w:t>
      </w:r>
      <w:r>
        <w:rPr>
          <w:rFonts w:hint="eastAsia" w:ascii="方正仿宋_GBK" w:hAnsi="方正仿宋_GBK" w:eastAsia="方正仿宋_GBK" w:cs="方正仿宋_GBK"/>
          <w:color w:val="000000"/>
          <w:sz w:val="28"/>
          <w:szCs w:val="28"/>
        </w:rPr>
      </w:r>
      <w:r/>
    </w:p>
    <w:p>
      <w:pPr>
        <w:pStyle w:val="967"/>
        <w:ind w:firstLine="42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本项目所包含的专项设计和施工必须满足相关规范</w:t>
      </w:r>
      <w:r>
        <w:rPr>
          <w:rFonts w:hint="eastAsia" w:ascii="方正仿宋_GBK" w:hAnsi="方正仿宋_GBK" w:eastAsia="方正仿宋_GBK" w:cs="方正仿宋_GBK"/>
          <w:color w:val="000000"/>
          <w:sz w:val="28"/>
          <w:szCs w:val="28"/>
        </w:rPr>
      </w:r>
      <w:r/>
    </w:p>
    <w:p>
      <w:pPr>
        <w:pStyle w:val="967"/>
        <w:ind w:firstLine="42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（二）采购清单</w:t>
      </w:r>
      <w:r>
        <w:rPr>
          <w:rFonts w:hint="eastAsia" w:ascii="方正仿宋_GBK" w:hAnsi="方正仿宋_GBK" w:eastAsia="方正仿宋_GBK" w:cs="方正仿宋_GBK"/>
          <w:color w:val="000000"/>
          <w:sz w:val="28"/>
          <w:szCs w:val="28"/>
        </w:rPr>
        <w:t xml:space="preserve">：（预算总价：450000元）</w:t>
      </w:r>
      <w:r>
        <w:rPr>
          <w:rFonts w:hint="eastAsia" w:ascii="方正仿宋_GBK" w:hAnsi="方正仿宋_GBK" w:eastAsia="方正仿宋_GBK" w:cs="方正仿宋_GBK"/>
          <w:color w:val="000000"/>
          <w:sz w:val="28"/>
          <w:szCs w:val="28"/>
        </w:rPr>
      </w:r>
      <w:r/>
    </w:p>
    <w:tbl>
      <w:tblPr>
        <w:tblW w:w="477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2494"/>
        <w:gridCol w:w="1472"/>
        <w:gridCol w:w="3599"/>
      </w:tblGrid>
      <w:tr>
        <w:trPr/>
        <w:tc>
          <w:tcPr>
            <w:tcW w:w="623"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442"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设备名称</w:t>
            </w:r>
            <w:r>
              <w:rPr>
                <w:rFonts w:hint="eastAsia" w:ascii="方正仿宋_GBK" w:hAnsi="方正仿宋_GBK" w:eastAsia="方正仿宋_GBK" w:cs="方正仿宋_GBK"/>
                <w:color w:val="000000"/>
                <w:sz w:val="28"/>
                <w:szCs w:val="28"/>
              </w:rPr>
            </w:r>
            <w:r/>
          </w:p>
        </w:tc>
        <w:tc>
          <w:tcPr>
            <w:tcW w:w="851"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2081"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楼号</w:t>
            </w:r>
            <w:r>
              <w:rPr>
                <w:rFonts w:hint="eastAsia" w:ascii="方正仿宋_GBK" w:hAnsi="方正仿宋_GBK" w:eastAsia="方正仿宋_GBK" w:cs="方正仿宋_GBK"/>
                <w:color w:val="000000"/>
                <w:sz w:val="28"/>
                <w:szCs w:val="28"/>
              </w:rPr>
            </w:r>
            <w:r/>
          </w:p>
        </w:tc>
      </w:tr>
      <w:tr>
        <w:trPr>
          <w:trHeight w:val="579"/>
        </w:trPr>
        <w:tc>
          <w:tcPr>
            <w:tcW w:w="623"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442"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有机房乘客电梯</w:t>
            </w:r>
            <w:r>
              <w:rPr>
                <w:rFonts w:hint="eastAsia" w:ascii="方正仿宋_GBK" w:hAnsi="方正仿宋_GBK" w:eastAsia="方正仿宋_GBK" w:cs="方正仿宋_GBK"/>
                <w:color w:val="000000"/>
                <w:sz w:val="28"/>
                <w:szCs w:val="28"/>
              </w:rPr>
            </w:r>
            <w:r/>
          </w:p>
        </w:tc>
        <w:tc>
          <w:tcPr>
            <w:tcW w:w="851"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2台</w:t>
            </w:r>
            <w:r>
              <w:rPr>
                <w:rFonts w:hint="eastAsia" w:ascii="方正仿宋_GBK" w:hAnsi="方正仿宋_GBK" w:eastAsia="方正仿宋_GBK" w:cs="方正仿宋_GBK"/>
                <w:color w:val="000000"/>
                <w:sz w:val="28"/>
                <w:szCs w:val="28"/>
              </w:rPr>
            </w:r>
            <w:r/>
          </w:p>
        </w:tc>
        <w:tc>
          <w:tcPr>
            <w:tcW w:w="2081" w:type="dxa"/>
            <w:vAlign w:val="center"/>
            <w:textDirection w:val="lrTb"/>
            <w:noWrap w:val="false"/>
          </w:tcPr>
          <w:p>
            <w:pPr>
              <w:pStyle w:val="967"/>
              <w:ind w:left="368" w:hanging="367"/>
              <w:jc w:val="center"/>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南京师范大学随园校区敬师楼</w:t>
            </w:r>
            <w:r>
              <w:rPr>
                <w:rFonts w:hint="eastAsia" w:ascii="方正仿宋_GBK" w:hAnsi="方正仿宋_GBK" w:eastAsia="方正仿宋_GBK" w:cs="方正仿宋_GBK"/>
                <w:color w:val="000000"/>
                <w:sz w:val="28"/>
                <w:szCs w:val="28"/>
              </w:rPr>
            </w:r>
            <w:r/>
          </w:p>
        </w:tc>
      </w:tr>
    </w:tbl>
    <w:p>
      <w:pPr>
        <w:pStyle w:val="967"/>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四、技术要求</w:t>
      </w:r>
      <w:r>
        <w:rPr>
          <w:rFonts w:hint="eastAsia" w:ascii="方正仿宋_GBK" w:hAnsi="方正仿宋_GBK" w:eastAsia="方正仿宋_GBK" w:cs="方正仿宋_GBK"/>
          <w:b/>
          <w:color w:val="000000"/>
          <w:sz w:val="28"/>
          <w:szCs w:val="28"/>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lang w:eastAsia="zh-CN"/>
        </w:rPr>
      </w:pPr>
      <w:r>
        <w:rPr>
          <w:rFonts w:hint="eastAsia" w:ascii="方正仿宋_GBK" w:hAnsi="方正仿宋_GBK" w:eastAsia="方正仿宋_GBK" w:cs="方正仿宋_GBK"/>
          <w:b w:val="0"/>
          <w:bCs/>
          <w:color w:val="000000"/>
          <w:sz w:val="28"/>
          <w:szCs w:val="28"/>
        </w:rPr>
        <w:t xml:space="preserve">（一）主要部件:包括:曳引机、控制柜、限速器、安全钳为原厂原品牌</w:t>
      </w:r>
      <w:r>
        <w:rPr>
          <w:rFonts w:hint="eastAsia" w:ascii="方正仿宋_GBK" w:hAnsi="方正仿宋_GBK" w:eastAsia="方正仿宋_GBK" w:cs="方正仿宋_GBK"/>
          <w:b w:val="0"/>
          <w:bCs/>
          <w:color w:val="000000"/>
          <w:sz w:val="28"/>
          <w:szCs w:val="28"/>
          <w:lang w:eastAsia="zh-CN"/>
        </w:rPr>
        <w:t xml:space="preserve">。</w:t>
      </w:r>
      <w:r>
        <w:rPr>
          <w:rFonts w:hint="eastAsia" w:ascii="方正仿宋_GBK" w:hAnsi="方正仿宋_GBK" w:eastAsia="方正仿宋_GBK" w:cs="方正仿宋_GBK"/>
          <w:b w:val="0"/>
          <w:bCs/>
          <w:color w:val="000000"/>
          <w:sz w:val="28"/>
          <w:szCs w:val="28"/>
          <w:lang w:eastAsia="zh-CN"/>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lang w:val="en-US" w:eastAsia="zh-CN"/>
        </w:rPr>
      </w:pPr>
      <w:r>
        <w:rPr>
          <w:rFonts w:hint="eastAsia" w:ascii="方正仿宋_GBK" w:hAnsi="方正仿宋_GBK" w:eastAsia="方正仿宋_GBK" w:cs="方正仿宋_GBK"/>
          <w:b w:val="0"/>
          <w:bCs/>
          <w:color w:val="000000"/>
          <w:sz w:val="28"/>
          <w:szCs w:val="28"/>
          <w:lang w:eastAsia="zh-CN"/>
        </w:rPr>
        <w:t xml:space="preserve">（</w:t>
      </w:r>
      <w:r>
        <w:rPr>
          <w:rFonts w:hint="eastAsia" w:ascii="方正仿宋_GBK" w:hAnsi="方正仿宋_GBK" w:eastAsia="方正仿宋_GBK" w:cs="方正仿宋_GBK"/>
          <w:b w:val="0"/>
          <w:bCs/>
          <w:color w:val="000000"/>
          <w:sz w:val="28"/>
          <w:szCs w:val="28"/>
          <w:lang w:val="en-US" w:eastAsia="zh-CN"/>
        </w:rPr>
        <w:t xml:space="preserve">二）所投垂直电梯门系统整体无故障运行寿命不低于1200万次。</w:t>
      </w:r>
      <w:r>
        <w:rPr>
          <w:rFonts w:hint="eastAsia" w:ascii="方正仿宋_GBK" w:hAnsi="方正仿宋_GBK" w:eastAsia="方正仿宋_GBK" w:cs="方正仿宋_GBK"/>
          <w:b w:val="0"/>
          <w:bCs/>
          <w:color w:val="000000"/>
          <w:sz w:val="28"/>
          <w:szCs w:val="28"/>
          <w:lang w:val="en-US" w:eastAsia="zh-CN"/>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lang w:val="en-US" w:eastAsia="zh-CN"/>
        </w:rPr>
      </w:pPr>
      <w:r>
        <w:rPr>
          <w:rFonts w:hint="eastAsia" w:ascii="方正仿宋_GBK" w:hAnsi="方正仿宋_GBK" w:eastAsia="方正仿宋_GBK" w:cs="方正仿宋_GBK"/>
          <w:b w:val="0"/>
          <w:bCs/>
          <w:color w:val="000000"/>
          <w:sz w:val="28"/>
          <w:szCs w:val="28"/>
          <w:lang w:val="en-US" w:eastAsia="zh-CN"/>
        </w:rPr>
        <w:t xml:space="preserve">（三）所投垂直电梯驱动主机制动器无故障运行寿命不低于1000万次。</w:t>
      </w:r>
      <w:r>
        <w:rPr>
          <w:rFonts w:hint="eastAsia" w:ascii="方正仿宋_GBK" w:hAnsi="方正仿宋_GBK" w:eastAsia="方正仿宋_GBK" w:cs="方正仿宋_GBK"/>
          <w:b w:val="0"/>
          <w:bCs/>
          <w:color w:val="000000"/>
          <w:sz w:val="28"/>
          <w:szCs w:val="28"/>
          <w:lang w:val="en-US" w:eastAsia="zh-CN"/>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lang w:val="en-US" w:eastAsia="zh-CN"/>
        </w:rPr>
      </w:pPr>
      <w:r>
        <w:rPr>
          <w:rFonts w:hint="eastAsia" w:ascii="方正仿宋_GBK" w:hAnsi="方正仿宋_GBK" w:eastAsia="方正仿宋_GBK" w:cs="方正仿宋_GBK"/>
          <w:b w:val="0"/>
          <w:bCs/>
          <w:color w:val="000000"/>
          <w:sz w:val="28"/>
          <w:szCs w:val="28"/>
          <w:lang w:val="en-US" w:eastAsia="zh-CN"/>
        </w:rPr>
        <w:t xml:space="preserve">（四）所投垂直电梯控制柜抗浪涌能力不低于15kV。</w:t>
      </w:r>
      <w:r>
        <w:rPr>
          <w:rFonts w:hint="eastAsia" w:ascii="方正仿宋_GBK" w:hAnsi="方正仿宋_GBK" w:eastAsia="方正仿宋_GBK" w:cs="方正仿宋_GBK"/>
          <w:b w:val="0"/>
          <w:bCs/>
          <w:color w:val="000000"/>
          <w:sz w:val="28"/>
          <w:szCs w:val="28"/>
          <w:lang w:val="en-US" w:eastAsia="zh-CN"/>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lang w:val="en-US" w:eastAsia="zh-CN"/>
        </w:rPr>
      </w:pPr>
      <w:r>
        <w:rPr>
          <w:rFonts w:hint="eastAsia" w:ascii="方正仿宋_GBK" w:hAnsi="方正仿宋_GBK" w:eastAsia="方正仿宋_GBK" w:cs="方正仿宋_GBK"/>
          <w:b w:val="0"/>
          <w:bCs/>
          <w:color w:val="000000"/>
          <w:sz w:val="28"/>
          <w:szCs w:val="28"/>
          <w:lang w:val="en-US" w:eastAsia="zh-CN"/>
        </w:rPr>
        <w:t xml:space="preserve">（五）根据GB/T 7588.1-2020,5.3.5.3.2的方法进行层门摆锤冲击试验：抗摆锤冲击动能不低于J。</w:t>
      </w:r>
      <w:r>
        <w:rPr>
          <w:rFonts w:hint="eastAsia" w:ascii="方正仿宋_GBK" w:hAnsi="方正仿宋_GBK" w:eastAsia="方正仿宋_GBK" w:cs="方正仿宋_GBK"/>
          <w:b w:val="0"/>
          <w:bCs/>
          <w:color w:val="000000"/>
          <w:sz w:val="28"/>
          <w:szCs w:val="28"/>
          <w:lang w:val="en-US" w:eastAsia="zh-CN"/>
        </w:rPr>
      </w:r>
      <w:r/>
    </w:p>
    <w:p>
      <w:pPr>
        <w:pStyle w:val="967"/>
        <w:keepLines w:val="0"/>
        <w:keepNext w:val="0"/>
        <w:pageBreakBefore w:val="0"/>
        <w:spacing w:line="440" w:lineRule="exact"/>
        <w:widowControl w:val="off"/>
        <w:rPr>
          <w:rFonts w:hint="eastAsia" w:ascii="方正仿宋_GBK" w:hAnsi="方正仿宋_GBK" w:eastAsia="方正仿宋_GBK" w:cs="方正仿宋_GBK"/>
          <w:b w:val="0"/>
          <w:bCs/>
          <w:color w:val="000000"/>
          <w:sz w:val="28"/>
          <w:szCs w:val="28"/>
        </w:rPr>
      </w:pPr>
      <w:r>
        <w:rPr>
          <w:rFonts w:hint="eastAsia" w:ascii="方正仿宋_GBK" w:hAnsi="方正仿宋_GBK" w:eastAsia="方正仿宋_GBK" w:cs="方正仿宋_GBK"/>
          <w:b w:val="0"/>
          <w:bCs/>
          <w:color w:val="000000"/>
          <w:sz w:val="28"/>
          <w:szCs w:val="28"/>
          <w:lang w:eastAsia="zh-CN"/>
        </w:rPr>
        <w:t xml:space="preserve">（</w:t>
      </w:r>
      <w:r>
        <w:rPr>
          <w:rFonts w:hint="eastAsia" w:ascii="方正仿宋_GBK" w:hAnsi="方正仿宋_GBK" w:eastAsia="方正仿宋_GBK" w:cs="方正仿宋_GBK"/>
          <w:b w:val="0"/>
          <w:bCs/>
          <w:color w:val="000000"/>
          <w:sz w:val="28"/>
          <w:szCs w:val="28"/>
          <w:lang w:val="en-US" w:eastAsia="zh-CN"/>
        </w:rPr>
        <w:t xml:space="preserve">五）</w:t>
      </w:r>
      <w:r>
        <w:rPr>
          <w:rFonts w:hint="eastAsia" w:ascii="方正仿宋_GBK" w:hAnsi="方正仿宋_GBK" w:eastAsia="方正仿宋_GBK" w:cs="方正仿宋_GBK"/>
          <w:b w:val="0"/>
          <w:bCs/>
          <w:color w:val="000000"/>
          <w:sz w:val="28"/>
          <w:szCs w:val="28"/>
        </w:rPr>
        <w:t xml:space="preserve">电梯设备主要参数：</w:t>
      </w:r>
      <w:r>
        <w:rPr>
          <w:rFonts w:hint="eastAsia" w:ascii="方正仿宋_GBK" w:hAnsi="方正仿宋_GBK" w:eastAsia="方正仿宋_GBK" w:cs="方正仿宋_GBK"/>
          <w:b w:val="0"/>
          <w:bCs/>
          <w:color w:val="000000"/>
          <w:sz w:val="28"/>
          <w:szCs w:val="28"/>
        </w:rPr>
      </w:r>
      <w:r/>
    </w:p>
    <w:tbl>
      <w:tblPr>
        <w:tblW w:w="4594" w:type="pct"/>
        <w:tblInd w:w="-108" w:type="dxa"/>
        <w:tblLayout w:type="fixed"/>
        <w:tblCellMar>
          <w:left w:w="108" w:type="dxa"/>
          <w:top w:w="0" w:type="dxa"/>
          <w:right w:w="108" w:type="dxa"/>
          <w:bottom w:w="0" w:type="dxa"/>
        </w:tblCellMar>
        <w:tblLook w:val="04A0" w:firstRow="1" w:lastRow="0" w:firstColumn="1" w:lastColumn="0" w:noHBand="0" w:noVBand="1"/>
      </w:tblPr>
      <w:tblGrid>
        <w:gridCol w:w="1012"/>
        <w:gridCol w:w="1690"/>
        <w:gridCol w:w="2718"/>
        <w:gridCol w:w="2903"/>
      </w:tblGrid>
      <w:tr>
        <w:trPr>
          <w:trHeight w:val="420"/>
        </w:trPr>
        <w:tc>
          <w:tcPr>
            <w:gridSpan w:val="4"/>
            <w:tcBorders>
              <w:top w:val="single" w:color="000000" w:sz="8" w:space="0"/>
              <w:left w:val="single" w:color="000000" w:sz="8" w:space="0"/>
              <w:bottom w:val="single" w:color="000000" w:sz="8" w:space="0"/>
              <w:right w:val="single" w:color="000000" w:sz="8" w:space="0"/>
            </w:tcBorders>
            <w:tcW w:w="8323"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技术参数</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▲额定速度</w:t>
            </w:r>
            <w:r>
              <w:rPr>
                <w:rFonts w:hint="eastAsia" w:ascii="宋体" w:hAnsi="宋体" w:cs="宋体"/>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1m/s</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提升高度</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19.4m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▲载 重</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≧1000kg</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▲层站门</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7/7/7</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▲开门方式</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中分门</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▲开门尺寸</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900*2100mm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▲机房要求</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有机房</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井道尺寸</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2100*2000（宽*深mm）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轿内尺寸</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1600*1350（宽*深mm）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底坑净深</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1570mm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顶层净高</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4340mm</w:t>
            </w:r>
            <w:r>
              <w:rPr>
                <w:rFonts w:hint="eastAsia" w:ascii="宋体" w:hAnsi="宋体" w:cs="宋体"/>
                <w:color w:val="000000"/>
                <w:sz w:val="24"/>
                <w:szCs w:val="24"/>
              </w:rPr>
            </w:r>
            <w:r/>
          </w:p>
        </w:tc>
      </w:tr>
      <w:tr>
        <w:trPr>
          <w:trHeight w:val="7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层高</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1F:3.8m；2F:4m；3F:2.9m；4F:2.9m；5F:2.9m；6F:2.9m；7F:4.34m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▲门机系统</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交流（VVVF变频调速）</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▲驱动方式</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微机控制交流变频调压调速</w:t>
            </w:r>
            <w:r>
              <w:rPr>
                <w:rFonts w:hint="eastAsia" w:ascii="宋体" w:hAnsi="宋体" w:cs="宋体"/>
                <w:color w:val="000000"/>
                <w:sz w:val="24"/>
                <w:szCs w:val="24"/>
              </w:rPr>
            </w:r>
            <w:r/>
          </w:p>
        </w:tc>
      </w:tr>
      <w:tr>
        <w:trPr>
          <w:trHeight w:val="338"/>
        </w:trPr>
        <w:tc>
          <w:tcPr>
            <w:tcBorders>
              <w:top w:val="none" w:color="000000" w:sz="4" w:space="0"/>
              <w:left w:val="single" w:color="000000" w:sz="8" w:space="0"/>
              <w:bottom w:val="single" w:color="000000" w:sz="8" w:space="0"/>
              <w:right w:val="single" w:color="000000" w:sz="8" w:space="0"/>
            </w:tcBorders>
            <w:tcW w:w="608"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▲控制方式</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center"/>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并联</w:t>
            </w:r>
            <w:r>
              <w:rPr>
                <w:rFonts w:hint="eastAsia" w:ascii="宋体" w:hAnsi="宋体" w:cs="宋体"/>
                <w:color w:val="000000"/>
                <w:sz w:val="24"/>
                <w:szCs w:val="24"/>
              </w:rPr>
            </w:r>
            <w:r/>
          </w:p>
        </w:tc>
      </w:tr>
      <w:tr>
        <w:trPr>
          <w:trHeight w:val="1180"/>
        </w:trPr>
        <w:tc>
          <w:tcPr>
            <w:tcBorders>
              <w:top w:val="none" w:color="000000" w:sz="4" w:space="0"/>
              <w:left w:val="single" w:color="000000" w:sz="8" w:space="0"/>
              <w:bottom w:val="single" w:color="000000" w:sz="8" w:space="0"/>
              <w:right w:val="single" w:color="000000" w:sz="8" w:space="0"/>
            </w:tcBorders>
            <w:tcW w:w="608"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1.16</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Cs w:val="21"/>
                <w:lang w:bidi="ar"/>
              </w:rPr>
              <w:t xml:space="preserve">▲</w:t>
            </w:r>
            <w:r>
              <w:rPr>
                <w:rFonts w:hint="eastAsia" w:ascii="宋体" w:hAnsi="宋体" w:cs="宋体"/>
                <w:color w:val="000000"/>
                <w:sz w:val="24"/>
                <w:szCs w:val="24"/>
                <w:lang w:bidi="ar"/>
              </w:rPr>
              <w:t xml:space="preserve">轿厢设计及整体装饰</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轿厢顶：发纹不锈钢吊顶；隐藏式横流通风扇。顶部装饰要求简洁、明快、大方的标准轿顶，照明明亮美观（节能灯） </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轿厢侧壁：发纹不锈钢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轿厢后壁：发纹不锈钢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轿厢门：发纹不锈钢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轿厢地面：塑料地板胶</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轿厢操纵箱：(一体化操纵箱)发纹不锈钢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轿厢净高：2400mm</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1.17</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Cs w:val="21"/>
                <w:lang w:bidi="ar"/>
              </w:rPr>
              <w:t xml:space="preserve">▲</w:t>
            </w:r>
            <w:r>
              <w:rPr>
                <w:rFonts w:hint="eastAsia" w:ascii="宋体" w:hAnsi="宋体" w:cs="宋体"/>
                <w:color w:val="000000"/>
                <w:sz w:val="24"/>
                <w:szCs w:val="24"/>
                <w:lang w:bidi="ar"/>
              </w:rPr>
              <w:t xml:space="preserve">厅门、门套、地坎</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厅门：层层发纹不锈钢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门套：小门套层层发纹不锈钢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地坎：硬质铝合金</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1.18</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（1）面板材质：发纹不锈钢</w:t>
            </w:r>
            <w:r>
              <w:rPr>
                <w:rFonts w:hint="eastAsia" w:ascii="宋体" w:hAnsi="宋体" w:cs="宋体"/>
                <w:color w:val="000000"/>
                <w:sz w:val="24"/>
                <w:szCs w:val="24"/>
              </w:rPr>
            </w:r>
            <w:r/>
          </w:p>
        </w:tc>
      </w:tr>
      <w:tr>
        <w:trPr>
          <w:trHeight w:val="84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（2）显示器显示内容：数字型楼层显示器，上升与下降方向指示</w:t>
            </w:r>
            <w:r>
              <w:rPr>
                <w:rFonts w:hint="eastAsia" w:ascii="宋体" w:hAnsi="宋体" w:cs="宋体"/>
                <w:color w:val="000000"/>
                <w:sz w:val="24"/>
                <w:szCs w:val="24"/>
              </w:rPr>
            </w:r>
            <w:r/>
          </w:p>
        </w:tc>
      </w:tr>
      <w:tr>
        <w:trPr>
          <w:trHeight w:val="126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（3）操作功能：1）紧急呼叫按钮；2）隐藏式对讲机（五方通话）；3）开关门按钮；4）与停靠楼层同数字、微触式不锈钢带数字楼层按钮。</w:t>
            </w:r>
            <w:r>
              <w:rPr>
                <w:rFonts w:hint="eastAsia" w:ascii="宋体" w:hAnsi="宋体" w:cs="宋体"/>
                <w:color w:val="000000"/>
                <w:sz w:val="24"/>
                <w:szCs w:val="24"/>
              </w:rPr>
            </w:r>
            <w:r/>
          </w:p>
        </w:tc>
      </w:tr>
      <w:tr>
        <w:trPr>
          <w:trHeight w:val="84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（4）标示要求：品牌商标、用途、限乘人数、限载重量</w:t>
            </w:r>
            <w:r>
              <w:rPr>
                <w:rFonts w:hint="eastAsia" w:ascii="宋体" w:hAnsi="宋体" w:cs="宋体"/>
                <w:color w:val="000000"/>
                <w:sz w:val="24"/>
                <w:szCs w:val="24"/>
              </w:rPr>
            </w:r>
            <w:r/>
          </w:p>
        </w:tc>
      </w:tr>
      <w:tr>
        <w:trPr>
          <w:trHeight w:val="78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（5）按钮要求：圆形不锈钢按钮</w:t>
            </w:r>
            <w:r>
              <w:rPr>
                <w:rFonts w:hint="eastAsia" w:ascii="宋体" w:hAnsi="宋体" w:cs="宋体"/>
                <w:color w:val="000000"/>
                <w:sz w:val="24"/>
                <w:szCs w:val="24"/>
              </w:rPr>
            </w:r>
            <w:r/>
          </w:p>
        </w:tc>
      </w:tr>
      <w:tr>
        <w:trPr>
          <w:trHeight w:val="1040"/>
        </w:trPr>
        <w:tc>
          <w:tcPr>
            <w:tcBorders>
              <w:top w:val="none" w:color="000000" w:sz="4" w:space="0"/>
              <w:left w:val="single" w:color="000000" w:sz="8" w:space="0"/>
              <w:bottom w:val="single" w:color="000000" w:sz="8" w:space="0"/>
              <w:right w:val="single" w:color="000000" w:sz="8" w:space="0"/>
            </w:tcBorders>
            <w:tcW w:w="608"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1.19</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restart"/>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Cs w:val="21"/>
                <w:lang w:bidi="ar"/>
              </w:rPr>
              <w:t xml:space="preserve">▲</w:t>
            </w:r>
            <w:r>
              <w:rPr>
                <w:rFonts w:hint="eastAsia" w:ascii="宋体" w:hAnsi="宋体" w:cs="宋体"/>
                <w:color w:val="000000"/>
                <w:sz w:val="24"/>
                <w:szCs w:val="24"/>
                <w:lang w:bidi="ar"/>
              </w:rPr>
              <w:t xml:space="preserve">楼层召唤</w:t>
            </w: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显示内容：单色液晶，显示楼层及运行方向，当电梯处于关闭、暂停服务或维修状态下时，给予乘客明确提示。</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面板材质：层层发纹不锈钢</w:t>
            </w:r>
            <w:r>
              <w:rPr>
                <w:rFonts w:hint="eastAsia" w:ascii="宋体" w:hAnsi="宋体" w:cs="宋体"/>
                <w:color w:val="000000"/>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W w:w="5621" w:type="dxa"/>
            <w:vAlign w:val="center"/>
            <w:textDirection w:val="lrTb"/>
            <w:noWrap w:val="false"/>
          </w:tcPr>
          <w:p>
            <w:pPr>
              <w:pStyle w:val="967"/>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安装位置：具体现场定</w:t>
            </w:r>
            <w:r>
              <w:rPr>
                <w:rFonts w:hint="eastAsia" w:ascii="宋体" w:hAnsi="宋体" w:cs="宋体"/>
                <w:color w:val="000000"/>
                <w:sz w:val="24"/>
                <w:szCs w:val="24"/>
              </w:rPr>
            </w:r>
            <w:r/>
          </w:p>
        </w:tc>
      </w:tr>
      <w:tr>
        <w:trPr>
          <w:trHeight w:val="380"/>
        </w:trPr>
        <w:tc>
          <w:tcPr>
            <w:tcBorders>
              <w:top w:val="none" w:color="000000" w:sz="4" w:space="0"/>
              <w:left w:val="single" w:color="000000" w:sz="8" w:space="0"/>
              <w:bottom w:val="none" w:color="000000" w:sz="0" w:space="0"/>
              <w:right w:val="single" w:color="000000" w:sz="8" w:space="0"/>
            </w:tcBorders>
            <w:tcW w:w="608" w:type="dxa"/>
            <w:vAlign w:val="center"/>
            <w:vMerge w:val="restart"/>
            <w:textDirection w:val="lrTb"/>
            <w:noWrap w:val="false"/>
          </w:tcPr>
          <w:p>
            <w:pPr>
              <w:pStyle w:val="967"/>
              <w:spacing w:line="36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1.20</w:t>
            </w:r>
            <w:r>
              <w:rPr>
                <w:rFonts w:ascii="宋体" w:hAnsi="宋体" w:cs="宋体"/>
                <w:color w:val="000000"/>
                <w:sz w:val="24"/>
                <w:szCs w:val="24"/>
              </w:rPr>
            </w:r>
            <w:r/>
          </w:p>
        </w:tc>
        <w:tc>
          <w:tcPr>
            <w:tcBorders>
              <w:top w:val="none" w:color="000000" w:sz="4" w:space="0"/>
              <w:left w:val="none" w:color="000000" w:sz="4" w:space="0"/>
              <w:bottom w:val="none" w:color="000000" w:sz="0" w:space="0"/>
              <w:right w:val="single" w:color="000000" w:sz="8" w:space="0"/>
            </w:tcBorders>
            <w:tcW w:w="1015" w:type="dxa"/>
            <w:vAlign w:val="center"/>
            <w:vMerge w:val="restart"/>
            <w:textDirection w:val="lrTb"/>
            <w:noWrap w:val="false"/>
          </w:tcPr>
          <w:p>
            <w:pPr>
              <w:pStyle w:val="967"/>
              <w:spacing w:line="360" w:lineRule="atLeast"/>
              <w:widowControl/>
              <w:rPr>
                <w:rFonts w:hint="eastAsia" w:ascii="宋体" w:hAnsi="宋体" w:cs="宋体"/>
                <w:i w:val="0"/>
                <w:iCs w:val="0"/>
                <w:color w:val="000000"/>
                <w:sz w:val="24"/>
                <w:szCs w:val="24"/>
                <w:u w:val="single"/>
              </w:rPr>
            </w:pPr>
            <w:r>
              <w:rPr>
                <w:rFonts w:hint="eastAsia" w:ascii="宋体" w:hAnsi="宋体" w:cs="宋体"/>
                <w:i w:val="0"/>
                <w:iCs w:val="0"/>
                <w:color w:val="000000"/>
                <w:sz w:val="24"/>
                <w:szCs w:val="24"/>
                <w:u w:val="none"/>
                <w:lang w:val="en-US" w:eastAsia="zh-CN" w:bidi="ar"/>
              </w:rPr>
              <w:t xml:space="preserve">电梯功能功能（包括但不限于）</w:t>
            </w:r>
            <w:r>
              <w:rPr>
                <w:rFonts w:hint="eastAsia" w:ascii="宋体" w:hAnsi="宋体" w:cs="宋体"/>
                <w:i w:val="0"/>
                <w:iCs w:val="0"/>
                <w:color w:val="000000"/>
                <w:sz w:val="24"/>
                <w:szCs w:val="24"/>
                <w:u w:val="single"/>
              </w:rPr>
            </w:r>
            <w:r/>
          </w:p>
        </w:tc>
        <w:tc>
          <w:tcPr>
            <w:tcBorders>
              <w:top w:val="none" w:color="000000" w:sz="4" w:space="0"/>
              <w:left w:val="none" w:color="000000" w:sz="4" w:space="0"/>
              <w:bottom w:val="singl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故障低速自救运行功能</w:t>
            </w:r>
            <w:r>
              <w:rPr>
                <w:rFonts w:hint="eastAsia" w:ascii="宋体" w:hAnsi="宋体" w:eastAsia="宋体" w:cs="宋体"/>
                <w:i w:val="0"/>
                <w:iCs w:val="0"/>
                <w:color w:val="000000"/>
                <w:sz w:val="24"/>
                <w:szCs w:val="24"/>
                <w:u w:val="none"/>
                <w:lang w:val="en-US" w:eastAsia="zh-CN" w:bidi="ar-SA"/>
              </w:rPr>
            </w:r>
            <w:r/>
          </w:p>
        </w:tc>
        <w:tc>
          <w:tcPr>
            <w:tcBorders>
              <w:top w:val="none" w:color="000000" w:sz="4" w:space="0"/>
              <w:left w:val="single" w:color="000000" w:sz="4" w:space="0"/>
              <w:bottom w:val="singl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层高自测定功能</w:t>
            </w:r>
            <w:r>
              <w:rPr>
                <w:rFonts w:hint="eastAsia" w:ascii="宋体" w:hAnsi="宋体" w:eastAsia="宋体" w:cs="宋体"/>
                <w:i w:val="0"/>
                <w:iCs w:val="0"/>
                <w:color w:val="000000"/>
                <w:sz w:val="24"/>
                <w:szCs w:val="24"/>
                <w:u w:val="none"/>
                <w:lang w:val="en-US" w:eastAsia="zh-CN" w:bidi="ar-SA"/>
              </w:rPr>
            </w:r>
            <w:r/>
          </w:p>
        </w:tc>
      </w:tr>
      <w:tr>
        <w:trPr>
          <w:trHeight w:val="375"/>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抗电磁干扰功能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开门异常自动选层功能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开关门时间超常保护功能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门停止运行功能</w:t>
            </w:r>
            <w:r>
              <w:rPr>
                <w:rFonts w:hint="eastAsia" w:ascii="宋体" w:hAnsi="宋体" w:eastAsia="宋体" w:cs="宋体"/>
                <w:i w:val="0"/>
                <w:iCs w:val="0"/>
                <w:color w:val="000000"/>
                <w:sz w:val="24"/>
                <w:szCs w:val="24"/>
                <w:u w:val="none"/>
                <w:lang w:val="en-US" w:eastAsia="zh-CN" w:bidi="ar-SA"/>
              </w:rPr>
            </w:r>
            <w:r/>
          </w:p>
        </w:tc>
      </w:tr>
      <w:tr>
        <w:trPr>
          <w:trHeight w:val="375"/>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起动补偿功能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超载报警功能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轿顶检修操作功能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无效内指令自动消除功能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集选控制:全集选控制运行功能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智能辅助制动功能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超速机械保护功能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停车在非门区报警功能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泊梯功能:1层</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对讲机通讯功能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底坑对讲机通讯功能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机房调试操作功能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轿内超载指示功能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位置异常自动校正功能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目的层按钮闪亮功能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警铃报警功能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门过载保护功能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反向内指令自动消除功能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运行次数显示功能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轿内照明自动控制功能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故障自动检测功能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开门时间自动调整功能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电动机过载保护功能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五方通话功能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关门按钮灯点亮</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停电应急照明功能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轿内误指令取消功能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待机定期自检功能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电动机过热保护功能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抱闸动作双安全检测功能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厅轿门旁路检测功能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开门时间自动控制功能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故障自动存储功能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无呼自返基站功能:1层</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厅外检修显示功能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超载保护功能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超速电气保护功能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轿内通风自动控制功能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满载直驶运行功能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消防迫降功能:1层</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none" w:color="000000" w:sz="0"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none" w:color="000000" w:sz="0"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non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轿内慢速运行功能</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电动机空转保护功能</w:t>
            </w:r>
            <w:r>
              <w:rPr>
                <w:rFonts w:hint="eastAsia" w:ascii="宋体" w:hAnsi="宋体" w:eastAsia="宋体" w:cs="宋体"/>
                <w:i w:val="0"/>
                <w:iCs w:val="0"/>
                <w:color w:val="000000"/>
                <w:sz w:val="24"/>
                <w:szCs w:val="24"/>
                <w:u w:val="none"/>
                <w:lang w:val="en-US" w:eastAsia="zh-CN" w:bidi="ar-SA"/>
              </w:rPr>
            </w:r>
            <w:r/>
          </w:p>
        </w:tc>
      </w:tr>
      <w:tr>
        <w:trPr>
          <w:trHeight w:val="380"/>
        </w:trPr>
        <w:tc>
          <w:tcPr>
            <w:tcBorders>
              <w:top w:val="none" w:color="000000" w:sz="0" w:space="0"/>
              <w:left w:val="single" w:color="000000" w:sz="8" w:space="0"/>
              <w:bottom w:val="single" w:color="000000" w:sz="4" w:space="0"/>
              <w:right w:val="single" w:color="000000" w:sz="8" w:space="0"/>
            </w:tcBorders>
            <w:tcW w:w="608" w:type="dxa"/>
            <w:vAlign w:val="center"/>
            <w:vMerge w:val="continue"/>
            <w:textDirection w:val="lrTb"/>
            <w:noWrap w:val="false"/>
          </w:tcPr>
          <w:p>
            <w:pPr>
              <w:pStyle w:val="967"/>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none" w:color="000000" w:sz="4" w:space="0"/>
              <w:bottom w:val="single" w:color="000000" w:sz="4" w:space="0"/>
              <w:right w:val="single" w:color="000000" w:sz="8" w:space="0"/>
            </w:tcBorders>
            <w:tcW w:w="1015" w:type="dxa"/>
            <w:vAlign w:val="center"/>
            <w:vMerge w:val="continue"/>
            <w:textDirection w:val="lrTb"/>
            <w:noWrap w:val="false"/>
          </w:tcPr>
          <w:p>
            <w:pPr>
              <w:pStyle w:val="967"/>
              <w:spacing w:line="360" w:lineRule="atLeast"/>
              <w:widowControl/>
              <w:rPr>
                <w:rFonts w:hint="eastAsia" w:ascii="宋体" w:hAnsi="宋体" w:cs="宋体"/>
                <w:i w:val="0"/>
                <w:iCs w:val="0"/>
                <w:color w:val="000000"/>
                <w:sz w:val="24"/>
                <w:szCs w:val="24"/>
                <w:u w:val="single"/>
                <w:lang w:val="en-US" w:eastAsia="zh-CN" w:bidi="ar"/>
              </w:rPr>
            </w:pPr>
            <w:r>
              <w:rPr>
                <w:rFonts w:hint="eastAsia" w:ascii="宋体" w:hAnsi="宋体" w:cs="宋体"/>
                <w:i w:val="0"/>
                <w:iCs w:val="0"/>
                <w:color w:val="000000"/>
                <w:sz w:val="24"/>
                <w:szCs w:val="24"/>
                <w:u w:val="single"/>
                <w:lang w:val="en-US" w:eastAsia="zh-CN" w:bidi="ar"/>
              </w:rPr>
            </w:r>
            <w:r/>
          </w:p>
        </w:tc>
        <w:tc>
          <w:tcPr>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消防员专用功能 1层</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none" w:color="000000" w:sz="4" w:space="0"/>
              <w:right w:val="single" w:color="000000" w:sz="8" w:space="0"/>
            </w:tcBorders>
            <w:tcW w:w="1743" w:type="dxa"/>
            <w:vAlign w:val="center"/>
            <w:textDirection w:val="lrTb"/>
            <w:noWrap w:val="false"/>
          </w:tcPr>
          <w:p>
            <w:pPr>
              <w:pStyle w:val="967"/>
              <w:jc w:val="left"/>
              <w:keepLines w:val="0"/>
              <w:keepNext w:val="0"/>
              <w:pageBreakBefore w:val="0"/>
              <w:spacing w:line="360" w:lineRule="atLeas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数字接口(预留视频电缆)</w:t>
            </w:r>
            <w:r>
              <w:rPr>
                <w:rFonts w:hint="eastAsia" w:ascii="宋体" w:hAnsi="宋体" w:eastAsia="宋体" w:cs="宋体"/>
                <w:i w:val="0"/>
                <w:iCs w:val="0"/>
                <w:color w:val="000000"/>
                <w:sz w:val="24"/>
                <w:szCs w:val="24"/>
                <w:u w:val="none"/>
                <w:lang w:val="en-US" w:eastAsia="zh-CN" w:bidi="ar-SA"/>
              </w:rPr>
            </w:r>
            <w:r/>
          </w:p>
        </w:tc>
      </w:tr>
    </w:tbl>
    <w:p>
      <w:pPr>
        <w:pStyle w:val="967"/>
        <w:ind w:firstLine="0"/>
        <w:spacing w:line="44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lang w:val="en-US" w:eastAsia="zh-CN"/>
        </w:rPr>
        <w:t xml:space="preserve">六</w:t>
      </w:r>
      <w:r>
        <w:rPr>
          <w:rFonts w:hint="eastAsia" w:ascii="方正仿宋_GBK" w:hAnsi="方正仿宋_GBK" w:eastAsia="方正仿宋_GBK" w:cs="方正仿宋_GBK"/>
          <w:b/>
          <w:color w:val="000000"/>
          <w:sz w:val="28"/>
          <w:szCs w:val="28"/>
        </w:rPr>
        <w:t xml:space="preserve">）执行标准和规范：</w:t>
      </w:r>
      <w:r>
        <w:rPr>
          <w:rFonts w:hint="eastAsia" w:ascii="方正仿宋_GBK" w:hAnsi="方正仿宋_GBK" w:eastAsia="方正仿宋_GBK" w:cs="方正仿宋_GBK"/>
          <w:b/>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符合电梯制造、安装、验收的标准和规范：GB/T 7588.1—2020《电梯制造与安装安全规范 第1部分：乘客电梯和载货电梯》和GB/T 7588.2—2020《电梯制造与安装安全规范 第2部分：电梯部件的设计原则、计算和检验》。国家如有新的标准和规范，按最新的标准和规范执行。</w:t>
      </w:r>
      <w:r>
        <w:rPr>
          <w:rFonts w:hint="eastAsia" w:ascii="方正仿宋_GBK" w:hAnsi="方正仿宋_GBK" w:eastAsia="方正仿宋_GBK" w:cs="方正仿宋_GBK"/>
          <w:color w:val="000000"/>
          <w:sz w:val="28"/>
          <w:szCs w:val="28"/>
          <w:lang w:bidi="ar"/>
        </w:rPr>
      </w:r>
      <w:r/>
    </w:p>
    <w:p>
      <w:pPr>
        <w:pStyle w:val="967"/>
        <w:ind w:firstLine="560"/>
        <w:spacing w:line="440" w:lineRule="exact"/>
        <w:rPr>
          <w:rFonts w:hint="eastAsia" w:ascii="方正仿宋_GBK" w:hAnsi="方正仿宋_GBK" w:eastAsia="方正仿宋_GBK" w:cs="方正仿宋_GBK"/>
          <w:b/>
          <w:bCs/>
          <w:color w:val="000000"/>
          <w:sz w:val="28"/>
          <w:szCs w:val="28"/>
          <w:highlight w:val="white"/>
        </w:rPr>
      </w:pPr>
      <w:r>
        <w:rPr>
          <w:rFonts w:hint="eastAsia" w:ascii="方正仿宋_GBK" w:hAnsi="方正仿宋_GBK" w:eastAsia="方正仿宋_GBK" w:cs="方正仿宋_GBK"/>
          <w:b/>
          <w:bCs/>
          <w:color w:val="000000"/>
          <w:sz w:val="28"/>
          <w:szCs w:val="28"/>
          <w:highlight w:val="white"/>
          <w:lang w:val="en-US" w:eastAsia="zh-CN" w:bidi="ar"/>
        </w:rPr>
        <w:t xml:space="preserve">五、业绩及人员要求</w:t>
      </w:r>
      <w:r>
        <w:rPr>
          <w:highlight w:val="white"/>
        </w:rPr>
      </w:r>
      <w:r/>
    </w:p>
    <w:p>
      <w:pPr>
        <w:pStyle w:val="967"/>
        <w:ind w:firstLine="480"/>
        <w:spacing w:line="440" w:lineRule="exact"/>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bidi="ar"/>
        </w:rPr>
        <w:t xml:space="preserve">1、</w:t>
      </w:r>
      <w:r>
        <w:rPr>
          <w:rStyle w:val="1084"/>
          <w:color w:val="000000"/>
          <w:sz w:val="24"/>
          <w:szCs w:val="24"/>
          <w:highlight w:val="white"/>
          <w:lang w:val="en-US" w:eastAsia="zh-CN" w:bidi="ar"/>
        </w:rPr>
        <w:t xml:space="preserve">投标人</w:t>
      </w:r>
      <w:r>
        <w:rPr>
          <w:rStyle w:val="1084"/>
          <w:rFonts w:hint="eastAsia"/>
          <w:color w:val="000000"/>
          <w:sz w:val="24"/>
          <w:szCs w:val="24"/>
          <w:highlight w:val="white"/>
          <w:lang w:val="en-US" w:eastAsia="zh-CN" w:bidi="ar"/>
        </w:rPr>
        <w:t xml:space="preserve">具有</w:t>
      </w:r>
      <w:r>
        <w:rPr>
          <w:rStyle w:val="1084"/>
          <w:color w:val="000000"/>
          <w:sz w:val="24"/>
          <w:szCs w:val="24"/>
          <w:highlight w:val="white"/>
          <w:lang w:val="en-US" w:eastAsia="zh-CN" w:bidi="ar"/>
        </w:rPr>
        <w:t xml:space="preserve">自</w:t>
      </w:r>
      <w:r>
        <w:rPr>
          <w:rStyle w:val="1086"/>
          <w:rFonts w:hint="eastAsia" w:ascii="宋体" w:hAnsi="宋体" w:eastAsia="宋体" w:cs="宋体"/>
          <w:color w:val="000000"/>
          <w:sz w:val="24"/>
          <w:szCs w:val="24"/>
          <w:highlight w:val="white"/>
          <w:lang w:val="en-US" w:eastAsia="zh-CN" w:bidi="ar"/>
        </w:rPr>
        <w:t xml:space="preserve">2022</w:t>
      </w:r>
      <w:r>
        <w:rPr>
          <w:rStyle w:val="1084"/>
          <w:color w:val="000000"/>
          <w:sz w:val="24"/>
          <w:szCs w:val="24"/>
          <w:highlight w:val="white"/>
          <w:lang w:val="en-US" w:eastAsia="zh-CN" w:bidi="ar"/>
        </w:rPr>
        <w:t xml:space="preserve">年</w:t>
      </w:r>
      <w:r>
        <w:rPr>
          <w:rStyle w:val="1086"/>
          <w:rFonts w:hint="eastAsia" w:ascii="宋体" w:hAnsi="宋体" w:eastAsia="宋体" w:cs="宋体"/>
          <w:color w:val="000000"/>
          <w:sz w:val="24"/>
          <w:szCs w:val="24"/>
          <w:highlight w:val="white"/>
          <w:lang w:val="en-US" w:eastAsia="zh-CN" w:bidi="ar"/>
        </w:rPr>
        <w:t xml:space="preserve">1</w:t>
      </w:r>
      <w:r>
        <w:rPr>
          <w:rStyle w:val="1084"/>
          <w:color w:val="000000"/>
          <w:sz w:val="24"/>
          <w:szCs w:val="24"/>
          <w:highlight w:val="white"/>
          <w:lang w:val="en-US" w:eastAsia="zh-CN" w:bidi="ar"/>
        </w:rPr>
        <w:t xml:space="preserve">月</w:t>
      </w:r>
      <w:r>
        <w:rPr>
          <w:rStyle w:val="1086"/>
          <w:rFonts w:hint="eastAsia" w:ascii="宋体" w:hAnsi="宋体" w:eastAsia="宋体" w:cs="宋体"/>
          <w:color w:val="000000"/>
          <w:sz w:val="24"/>
          <w:szCs w:val="24"/>
          <w:highlight w:val="white"/>
          <w:lang w:val="en-US" w:eastAsia="zh-CN" w:bidi="ar"/>
        </w:rPr>
        <w:t xml:space="preserve">1</w:t>
      </w:r>
      <w:r>
        <w:rPr>
          <w:rStyle w:val="1084"/>
          <w:color w:val="000000"/>
          <w:sz w:val="24"/>
          <w:szCs w:val="24"/>
          <w:highlight w:val="white"/>
          <w:lang w:val="en-US" w:eastAsia="zh-CN" w:bidi="ar"/>
        </w:rPr>
        <w:t xml:space="preserve">日（以合同签订日期为准）以来具有电梯成功案例（含供货、安装及验收）；</w:t>
      </w:r>
      <w:r>
        <w:rPr>
          <w:highlight w:val="white"/>
        </w:rPr>
      </w:r>
      <w:r/>
    </w:p>
    <w:p>
      <w:pPr>
        <w:pStyle w:val="967"/>
        <w:ind w:firstLine="480"/>
        <w:spacing w:line="440" w:lineRule="exact"/>
        <w:rPr>
          <w:rFonts w:ascii="方正仿宋_GBK" w:hAnsi="方正仿宋_GBK" w:eastAsia="方正仿宋_GBK" w:cs="方正仿宋_GBK"/>
          <w:color w:val="000000"/>
          <w:sz w:val="28"/>
          <w:szCs w:val="28"/>
          <w:highlight w:val="white"/>
        </w:rPr>
      </w:pPr>
      <w:r>
        <w:rPr>
          <w:rFonts w:hint="eastAsia" w:ascii="宋体" w:hAnsi="宋体" w:eastAsia="宋体" w:cs="宋体"/>
          <w:i w:val="0"/>
          <w:iCs w:val="0"/>
          <w:color w:val="000000"/>
          <w:sz w:val="24"/>
          <w:szCs w:val="24"/>
          <w:highlight w:val="white"/>
          <w:u w:val="none"/>
          <w:lang w:val="en-US" w:eastAsia="zh-CN" w:bidi="ar"/>
        </w:rPr>
        <w:t xml:space="preserve">2、本项目设置项目负责人一名，具有机电类工程师以上职称和特种设备作业证(电梯)。</w:t>
      </w:r>
      <w:r>
        <w:rPr>
          <w:highlight w:val="white"/>
        </w:rPr>
      </w:r>
      <w:r/>
    </w:p>
    <w:p>
      <w:pPr>
        <w:pStyle w:val="967"/>
        <w:ind w:firstLine="56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rPr>
        <w:t xml:space="preserve">六</w:t>
      </w:r>
      <w:r>
        <w:rPr>
          <w:rFonts w:hint="eastAsia" w:ascii="方正仿宋_GBK" w:hAnsi="方正仿宋_GBK" w:eastAsia="方正仿宋_GBK" w:cs="方正仿宋_GBK"/>
          <w:b/>
          <w:color w:val="000000"/>
          <w:sz w:val="28"/>
          <w:szCs w:val="28"/>
          <w:highlight w:val="none"/>
        </w:rPr>
        <w:t xml:space="preserve">、项目实施方案</w:t>
      </w:r>
      <w:r>
        <w:rPr>
          <w:rFonts w:hint="eastAsia" w:ascii="方正仿宋_GBK" w:hAnsi="方正仿宋_GBK" w:eastAsia="方正仿宋_GBK" w:cs="方正仿宋_GBK"/>
          <w:b/>
          <w:color w:val="000000"/>
          <w:sz w:val="28"/>
          <w:szCs w:val="28"/>
          <w:highlight w:val="none"/>
        </w:rPr>
      </w:r>
      <w:r/>
    </w:p>
    <w:p>
      <w:pPr>
        <w:pStyle w:val="967"/>
        <w:ind w:firstLine="560"/>
        <w:spacing w:line="44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（一）安装方案</w:t>
      </w:r>
      <w:r>
        <w:rPr>
          <w:rFonts w:hint="eastAsia" w:ascii="方正仿宋_GBK" w:hAnsi="方正仿宋_GBK" w:eastAsia="方正仿宋_GBK" w:cs="方正仿宋_GBK"/>
          <w:b/>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1、方案概况</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投标人应根据自身设备情况，结合施工现场和发包方需求特点，科学制定项目实施方案。</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2、方案内容</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施工方案应当包含施工进度计划、施工人员配备、施工人员特种作业证书、施工安全措施和承诺(包含人员保险)、设备安装调试、试运行等内容的工作程序和步骤等。</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3、方案要求</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施工方案应完善、内容细致和可行性强。</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施工方案应从以下方面尽可能降低对招标人日常工作的影响。</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（二）应急处理预案</w:t>
      </w:r>
      <w:r>
        <w:rPr>
          <w:rFonts w:hint="eastAsia" w:ascii="方正仿宋_GBK" w:hAnsi="方正仿宋_GBK" w:eastAsia="方正仿宋_GBK" w:cs="方正仿宋_GBK"/>
          <w:b/>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1、方案概况</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投标人应根据自身情况，结合需求特点，科学制定项目应急处理方案。</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2、方案内容</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应急处理预案方案应当包括</w:t>
      </w:r>
      <w:r>
        <w:rPr>
          <w:rFonts w:hint="eastAsia" w:ascii="方正仿宋_GBK" w:hAnsi="方正仿宋_GBK" w:eastAsia="方正仿宋_GBK" w:cs="方正仿宋_GBK"/>
          <w:color w:val="000000"/>
          <w:sz w:val="28"/>
          <w:szCs w:val="28"/>
        </w:rPr>
        <w:t xml:space="preserve">电梯常见故障应急救援方法</w:t>
      </w:r>
      <w:r>
        <w:rPr>
          <w:rFonts w:hint="eastAsia" w:ascii="方正仿宋_GBK" w:hAnsi="方正仿宋_GBK" w:eastAsia="方正仿宋_GBK" w:cs="方正仿宋_GBK"/>
          <w:color w:val="000000"/>
          <w:sz w:val="28"/>
          <w:szCs w:val="28"/>
          <w:lang w:bidi="en-US"/>
        </w:rPr>
        <w:t xml:space="preserve">等。</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3、方案要求</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应急处理方案应完善、内容细致和可行性强。</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（三）培训方案</w:t>
      </w:r>
      <w:r>
        <w:rPr>
          <w:rFonts w:hint="eastAsia" w:ascii="方正仿宋_GBK" w:hAnsi="方正仿宋_GBK" w:eastAsia="方正仿宋_GBK" w:cs="方正仿宋_GBK"/>
          <w:b/>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1、方案概况</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投标人应根据自身情况，结合需求特点，科学制定项目培训方案。</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2、方案内容</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对人员培训不低于2人。</w:t>
      </w:r>
      <w:r>
        <w:rPr>
          <w:rFonts w:hint="eastAsia" w:ascii="方正仿宋_GBK" w:hAnsi="方正仿宋_GBK" w:eastAsia="方正仿宋_GBK" w:cs="方正仿宋_GBK"/>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3、方案要求</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培训方案应完善、内容细致和可行性强。</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（四）售后方案</w:t>
      </w:r>
      <w:r>
        <w:rPr>
          <w:rFonts w:hint="eastAsia" w:ascii="方正仿宋_GBK" w:hAnsi="方正仿宋_GBK" w:eastAsia="方正仿宋_GBK" w:cs="方正仿宋_GBK"/>
          <w:b/>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1．方案概况</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投标人应根据自身设备情况，结合招标人需求特点，科学制定项目售后方案。</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2．方案内容</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方案应包含日常定期维保计划和故障维修方案两个部分。</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en-US"/>
        </w:rPr>
        <w:t xml:space="preserve">日常定期维保计划</w:t>
      </w:r>
      <w:r>
        <w:rPr>
          <w:rFonts w:hint="eastAsia" w:ascii="方正仿宋_GBK" w:hAnsi="方正仿宋_GBK" w:eastAsia="方正仿宋_GBK" w:cs="方正仿宋_GBK"/>
          <w:color w:val="000000"/>
          <w:sz w:val="28"/>
          <w:szCs w:val="28"/>
        </w:rPr>
        <w:t xml:space="preserve">主要包括：</w:t>
      </w:r>
      <w:r>
        <w:rPr>
          <w:rFonts w:hint="eastAsia" w:ascii="方正仿宋_GBK" w:hAnsi="方正仿宋_GBK" w:eastAsia="方正仿宋_GBK" w:cs="方正仿宋_GBK"/>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rPr>
        <w:t xml:space="preserve">维保人员配备、维保人员资质，以下重要部件、重点系统、重要区域的检查频次和方法。包含并不限于曳引机、轿厢、导轨、安全钳、限速器、抱闸、钢丝绳、缓冲器、门系统、电气控制柜系统、机房、基坑等。</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lang w:bidi="en-US"/>
        </w:rPr>
        <w:t xml:space="preserve">故障维修方案主要包括：</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投标人在设备发生故障、接到招标人通知后响应时间：电梯困人的求援时间不超过30分钟，故障反应时间小于30分钟，一般故障修复时间小于60分钟，较大故障修复时间小于36小时。</w:t>
      </w:r>
      <w:r>
        <w:rPr>
          <w:rFonts w:hint="eastAsia" w:ascii="方正仿宋_GBK" w:hAnsi="方正仿宋_GBK" w:eastAsia="方正仿宋_GBK" w:cs="方正仿宋_GBK"/>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en-US"/>
        </w:rPr>
        <w:t xml:space="preserve">3.</w:t>
      </w:r>
      <w:r>
        <w:rPr>
          <w:rFonts w:hint="eastAsia" w:ascii="方正仿宋_GBK" w:hAnsi="方正仿宋_GBK" w:eastAsia="方正仿宋_GBK" w:cs="方正仿宋_GBK"/>
          <w:color w:val="000000"/>
          <w:sz w:val="28"/>
          <w:szCs w:val="28"/>
        </w:rPr>
        <w:t xml:space="preserve">售后服务方案要求：</w:t>
      </w:r>
      <w:r>
        <w:rPr>
          <w:rFonts w:hint="eastAsia" w:ascii="方正仿宋_GBK" w:hAnsi="方正仿宋_GBK" w:eastAsia="方正仿宋_GBK" w:cs="方正仿宋_GBK"/>
          <w:color w:val="000000"/>
          <w:sz w:val="28"/>
          <w:szCs w:val="28"/>
        </w:rPr>
      </w:r>
      <w:r/>
    </w:p>
    <w:p>
      <w:pPr>
        <w:pStyle w:val="967"/>
        <w:ind w:firstLine="560"/>
        <w:spacing w:line="440" w:lineRule="exact"/>
        <w:rPr>
          <w:rFonts w:hint="eastAsia" w:ascii="方正仿宋_GBK" w:hAnsi="方正仿宋_GBK" w:eastAsia="方正仿宋_GBK" w:cs="方正仿宋_GBK"/>
          <w:color w:val="000000"/>
          <w:sz w:val="28"/>
          <w:szCs w:val="28"/>
          <w:lang w:bidi="en-US"/>
        </w:rPr>
      </w:pPr>
      <w:r>
        <w:rPr>
          <w:rFonts w:hint="eastAsia" w:ascii="方正仿宋_GBK" w:hAnsi="方正仿宋_GBK" w:eastAsia="方正仿宋_GBK" w:cs="方正仿宋_GBK"/>
          <w:color w:val="000000"/>
          <w:sz w:val="28"/>
          <w:szCs w:val="28"/>
        </w:rPr>
        <w:t xml:space="preserve">①投标人在质保期内每月进行常规维护保养不少于两次，每月对电梯的运行安全工作情况作一次全面检查并提交检查报告。</w:t>
      </w:r>
      <w:r>
        <w:rPr>
          <w:rFonts w:hint="eastAsia" w:ascii="方正仿宋_GBK" w:hAnsi="方正仿宋_GBK" w:eastAsia="方正仿宋_GBK" w:cs="方正仿宋_GBK"/>
          <w:color w:val="000000"/>
          <w:sz w:val="28"/>
          <w:szCs w:val="28"/>
          <w:lang w:bidi="en-US"/>
        </w:rPr>
      </w:r>
      <w:r/>
    </w:p>
    <w:p>
      <w:pPr>
        <w:pStyle w:val="967"/>
        <w:ind w:firstLine="56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②提供缴纳社保维保人员配置数量（不少于2名）、资质（特种设备作业证（电梯）），人员配合及响应机制。</w:t>
      </w:r>
      <w:r>
        <w:rPr>
          <w:rFonts w:hint="eastAsia" w:ascii="方正仿宋_GBK" w:hAnsi="方正仿宋_GBK" w:eastAsia="方正仿宋_GBK" w:cs="方正仿宋_GBK"/>
          <w:color w:val="000000"/>
          <w:sz w:val="28"/>
          <w:szCs w:val="28"/>
        </w:rPr>
      </w:r>
      <w:r/>
    </w:p>
    <w:p>
      <w:pPr>
        <w:pStyle w:val="967"/>
        <w:ind w:firstLine="560"/>
        <w:spacing w:line="44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七</w:t>
      </w:r>
      <w:r>
        <w:rPr>
          <w:rFonts w:hint="eastAsia" w:ascii="方正仿宋_GBK" w:hAnsi="方正仿宋_GBK" w:eastAsia="方正仿宋_GBK" w:cs="方正仿宋_GBK"/>
          <w:b/>
          <w:bCs/>
          <w:color w:val="000000"/>
          <w:sz w:val="28"/>
          <w:szCs w:val="28"/>
        </w:rPr>
        <w:t xml:space="preserve">、商务要求</w:t>
      </w:r>
      <w:r>
        <w:rPr>
          <w:rFonts w:hint="eastAsia" w:ascii="方正仿宋_GBK" w:hAnsi="方正仿宋_GBK" w:eastAsia="方正仿宋_GBK" w:cs="方正仿宋_GBK"/>
          <w:b/>
          <w:bCs/>
          <w:color w:val="000000"/>
          <w:sz w:val="28"/>
          <w:szCs w:val="28"/>
        </w:rPr>
      </w:r>
      <w:r/>
    </w:p>
    <w:p>
      <w:pPr>
        <w:pStyle w:val="967"/>
        <w:ind w:firstLine="56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方正仿宋_GBK" w:hAnsi="方正仿宋_GBK" w:eastAsia="方正仿宋_GBK" w:cs="方正仿宋_GBK"/>
          <w:b/>
          <w:bCs/>
          <w:color w:val="000000"/>
          <w:sz w:val="28"/>
          <w:szCs w:val="28"/>
        </w:rPr>
      </w:r>
      <w:r/>
    </w:p>
    <w:p>
      <w:pPr>
        <w:pStyle w:val="967"/>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1、投标币种：人民币。</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2、履约保证金：中标后，中标供应商需交纳中标金额5%的履约保证金</w:t>
      </w:r>
      <w:r>
        <w:rPr>
          <w:rFonts w:hint="eastAsia" w:ascii="方正仿宋_GBK" w:hAnsi="方正仿宋_GBK" w:eastAsia="方正仿宋_GBK" w:cs="方正仿宋_GBK"/>
          <w:b/>
          <w:bCs/>
          <w:color w:val="000000"/>
          <w:sz w:val="28"/>
          <w:szCs w:val="28"/>
        </w:rPr>
        <w:t xml:space="preserve">（允许中标供应商以保函形式提供）</w:t>
      </w:r>
      <w:r>
        <w:rPr>
          <w:rFonts w:hint="eastAsia" w:ascii="方正仿宋_GBK" w:hAnsi="方正仿宋_GBK" w:eastAsia="方正仿宋_GBK" w:cs="方正仿宋_GBK"/>
          <w:color w:val="000000"/>
          <w:sz w:val="28"/>
          <w:szCs w:val="28"/>
        </w:rPr>
        <w:t xml:space="preserve">，履约保证金在免费质保期满后且经用户单位确认质量、服务无问题的情况下退还（不计息）。</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付款方式：（1）合同签订后7个工作日内，预付20%合同价款；（2）发货前20天，支付50%合同价款，（3）设备安装调试结束，提交全部报告材料并取得准用证后，支付余下的30%合同价款；（4）上述款项须开增值税专用发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4、工期（含供货、安装、调试）≤30日，交货方式：由乙方负责运输并装卸至甲方施工现场，交货地点：项目现场</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i/>
          <w:iCs/>
          <w:color w:val="000000"/>
          <w:sz w:val="28"/>
          <w:szCs w:val="28"/>
          <w:u w:val="single"/>
        </w:rPr>
        <w:t xml:space="preserve">5、免费质保期</w:t>
      </w:r>
      <w:r>
        <w:rPr>
          <w:rFonts w:hint="eastAsia" w:ascii="方正仿宋_GBK" w:hAnsi="方正仿宋_GBK" w:eastAsia="方正仿宋_GBK" w:cs="方正仿宋_GBK"/>
          <w:b/>
          <w:bCs/>
          <w:i/>
          <w:iCs/>
          <w:color w:val="000000"/>
          <w:sz w:val="28"/>
          <w:szCs w:val="28"/>
          <w:u w:val="single"/>
          <w:lang w:val="en-US" w:eastAsia="zh-CN"/>
        </w:rPr>
        <w:t xml:space="preserve">三</w:t>
      </w:r>
      <w:r>
        <w:rPr>
          <w:rFonts w:hint="eastAsia" w:ascii="方正仿宋_GBK" w:hAnsi="方正仿宋_GBK" w:eastAsia="方正仿宋_GBK" w:cs="方正仿宋_GBK"/>
          <w:b/>
          <w:bCs/>
          <w:i/>
          <w:iCs/>
          <w:color w:val="000000"/>
          <w:sz w:val="28"/>
          <w:szCs w:val="28"/>
          <w:u w:val="single"/>
        </w:rPr>
        <w:t xml:space="preserve">年，（自交货验收合格之日起计）</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24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6、配件及耗材要求：质保期内，电梯零部件自然损坏乙方负责包退、包换、包维修，若因非设备质量或非正常使用而造成的零部件损坏，乙方将以优惠的价格提供零部件，乙方负责维修。</w:t>
      </w:r>
      <w:r>
        <w:rPr>
          <w:rFonts w:hint="eastAsia" w:ascii="方正仿宋_GBK" w:hAnsi="方正仿宋_GBK" w:eastAsia="方正仿宋_GBK" w:cs="方正仿宋_GBK"/>
          <w:color w:val="000000"/>
          <w:sz w:val="28"/>
          <w:szCs w:val="28"/>
        </w:rPr>
      </w:r>
      <w:r/>
    </w:p>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7、旧电梯拆除回收报价（扣除拆除人工及运费）</w:t>
      </w:r>
      <w:r>
        <w:rPr>
          <w:rFonts w:hint="eastAsia" w:ascii="方正仿宋_GBK" w:hAnsi="方正仿宋_GBK" w:eastAsia="方正仿宋_GBK" w:cs="方正仿宋_GBK"/>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1681"/>
        <w:gridCol w:w="2280"/>
      </w:tblGrid>
      <w:tr>
        <w:trPr/>
        <w:tc>
          <w:tcPr>
            <w:tcW w:w="2130" w:type="dxa"/>
            <w:vAlign w:val="top"/>
            <w:textDirection w:val="lrTb"/>
            <w:noWrap w:val="false"/>
          </w:tcPr>
          <w:p>
            <w:pPr>
              <w:pStyle w:val="967"/>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旧电梯回收</w:t>
            </w:r>
            <w:r>
              <w:rPr>
                <w:rFonts w:hint="eastAsia" w:ascii="方正仿宋_GBK" w:hAnsi="方正仿宋_GBK" w:eastAsia="方正仿宋_GBK" w:cs="方正仿宋_GBK"/>
                <w:color w:val="000000"/>
                <w:sz w:val="28"/>
                <w:szCs w:val="28"/>
              </w:rPr>
            </w:r>
            <w:r/>
          </w:p>
        </w:tc>
        <w:tc>
          <w:tcPr>
            <w:tcW w:w="2130" w:type="dxa"/>
            <w:vAlign w:val="top"/>
            <w:textDirection w:val="lrTb"/>
            <w:noWrap w:val="false"/>
          </w:tcPr>
          <w:p>
            <w:pPr>
              <w:pStyle w:val="967"/>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2台（7/7/7）</w:t>
            </w:r>
            <w:r>
              <w:rPr>
                <w:rFonts w:hint="eastAsia" w:ascii="方正仿宋_GBK" w:hAnsi="方正仿宋_GBK" w:eastAsia="方正仿宋_GBK" w:cs="方正仿宋_GBK"/>
                <w:color w:val="000000"/>
                <w:sz w:val="28"/>
                <w:szCs w:val="28"/>
              </w:rPr>
            </w:r>
            <w:r/>
          </w:p>
        </w:tc>
        <w:tc>
          <w:tcPr>
            <w:tcW w:w="1681" w:type="dxa"/>
            <w:vAlign w:val="top"/>
            <w:textDirection w:val="lrTb"/>
            <w:noWrap w:val="false"/>
          </w:tcPr>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元/台</w:t>
            </w:r>
            <w:r>
              <w:rPr>
                <w:rFonts w:hint="eastAsia" w:ascii="方正仿宋_GBK" w:hAnsi="方正仿宋_GBK" w:eastAsia="方正仿宋_GBK" w:cs="方正仿宋_GBK"/>
                <w:color w:val="000000"/>
                <w:sz w:val="28"/>
                <w:szCs w:val="28"/>
              </w:rPr>
            </w:r>
            <w:r/>
          </w:p>
        </w:tc>
        <w:tc>
          <w:tcPr>
            <w:tcW w:w="2280" w:type="dxa"/>
            <w:vAlign w:val="top"/>
            <w:textDirection w:val="lrTb"/>
            <w:noWrap w:val="false"/>
          </w:tcPr>
          <w:p>
            <w:pPr>
              <w:pStyle w:val="967"/>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合计   元</w:t>
            </w:r>
            <w:r>
              <w:rPr>
                <w:rFonts w:hint="eastAsia" w:ascii="方正仿宋_GBK" w:hAnsi="方正仿宋_GBK" w:eastAsia="方正仿宋_GBK" w:cs="方正仿宋_GBK"/>
                <w:color w:val="000000"/>
                <w:sz w:val="28"/>
                <w:szCs w:val="28"/>
              </w:rPr>
            </w:r>
            <w:r/>
          </w:p>
        </w:tc>
      </w:tr>
    </w:tbl>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旧电梯拆除回收由投标人根据现场勘察情况对旧梯残值自行报价，中标后按照所报价格上交给学校。</w:t>
      </w:r>
      <w:r>
        <w:rPr>
          <w:rFonts w:hint="eastAsia" w:ascii="方正仿宋_GBK" w:hAnsi="方正仿宋_GBK" w:eastAsia="方正仿宋_GBK" w:cs="方正仿宋_GBK"/>
          <w:color w:val="000000"/>
          <w:sz w:val="28"/>
          <w:szCs w:val="28"/>
        </w:rPr>
      </w:r>
      <w:r/>
    </w:p>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8、现场勘察要求：为更好保证项目的顺利实施，各潜在投标人可对项目实施环境进行现场勘查。</w:t>
      </w:r>
      <w:r>
        <w:rPr>
          <w:rFonts w:hint="eastAsia" w:ascii="方正仿宋_GBK" w:hAnsi="方正仿宋_GBK" w:eastAsia="方正仿宋_GBK" w:cs="方正仿宋_GBK"/>
          <w:color w:val="000000"/>
          <w:sz w:val="28"/>
          <w:szCs w:val="28"/>
        </w:rPr>
      </w:r>
      <w:r/>
    </w:p>
    <w:p>
      <w:pPr>
        <w:pStyle w:val="967"/>
        <w:ind w:firstLine="560"/>
        <w:spacing w:line="24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请投标人授权代表持身份证原件、企业法人营业执照复印件加盖公章、法人授权委托书，前往勘察并现场签到。</w:t>
      </w:r>
      <w:r>
        <w:rPr>
          <w:rFonts w:hint="eastAsia" w:ascii="方正仿宋_GBK" w:hAnsi="方正仿宋_GBK" w:eastAsia="方正仿宋_GBK" w:cs="方正仿宋_GBK"/>
          <w:color w:val="000000"/>
          <w:sz w:val="28"/>
          <w:szCs w:val="28"/>
          <w:highlight w:val="none"/>
        </w:rPr>
      </w:r>
      <w:r/>
    </w:p>
    <w:p>
      <w:pPr>
        <w:pStyle w:val="967"/>
        <w:ind w:firstLine="560"/>
        <w:spacing w:line="240" w:lineRule="auto"/>
        <w:rPr>
          <w:rFonts w:hint="eastAsia" w:ascii="方正仿宋_GBK" w:hAnsi="方正仿宋_GBK" w:eastAsia="方正仿宋_GBK" w:cs="方正仿宋_GBK"/>
          <w:color w:val="000000"/>
          <w:sz w:val="28"/>
          <w:szCs w:val="28"/>
          <w:highlight w:val="green"/>
        </w:rPr>
      </w:pPr>
      <w:r>
        <w:rPr>
          <w:rFonts w:hint="eastAsia" w:ascii="方正仿宋_GBK" w:hAnsi="方正仿宋_GBK" w:eastAsia="方正仿宋_GBK" w:cs="方正仿宋_GBK"/>
          <w:color w:val="000000"/>
          <w:sz w:val="28"/>
          <w:szCs w:val="28"/>
          <w:highlight w:val="none"/>
        </w:rPr>
        <w:t xml:space="preserve">请务必对项目现场和周围环境进行仔细、认真地查勘，在随后的采购中，对现场资料和数据所作出的推论、解释和结论及由此造成的后果由投标人负责。</w:t>
      </w:r>
      <w:r>
        <w:rPr>
          <w:rFonts w:hint="eastAsia" w:ascii="方正仿宋_GBK" w:hAnsi="方正仿宋_GBK" w:eastAsia="方正仿宋_GBK" w:cs="方正仿宋_GBK"/>
          <w:color w:val="000000"/>
          <w:sz w:val="28"/>
          <w:szCs w:val="28"/>
          <w:highlight w:val="green"/>
        </w:rPr>
      </w:r>
      <w:r/>
    </w:p>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现场勘查地点：南京师范大学随园校区</w:t>
      </w:r>
      <w:r>
        <w:rPr>
          <w:rFonts w:hint="eastAsia" w:ascii="方正仿宋_GBK" w:hAnsi="方正仿宋_GBK" w:eastAsia="方正仿宋_GBK" w:cs="方正仿宋_GBK"/>
          <w:color w:val="000000"/>
          <w:sz w:val="28"/>
          <w:szCs w:val="28"/>
        </w:rPr>
      </w:r>
      <w:r/>
    </w:p>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现场勘察时间：2026年6月25日14:00-15:30。 </w:t>
      </w:r>
      <w:r>
        <w:rPr>
          <w:rFonts w:hint="eastAsia" w:ascii="方正仿宋_GBK" w:hAnsi="方正仿宋_GBK" w:eastAsia="方正仿宋_GBK" w:cs="方正仿宋_GBK"/>
          <w:color w:val="000000"/>
          <w:sz w:val="28"/>
          <w:szCs w:val="28"/>
        </w:rPr>
      </w:r>
      <w:r/>
    </w:p>
    <w:p>
      <w:pPr>
        <w:pStyle w:val="967"/>
        <w:ind w:firstLine="560"/>
        <w:spacing w:line="24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采购人联系人： 李老师  采购人联系电话：025-85891667 </w:t>
      </w:r>
      <w:r>
        <w:rPr>
          <w:rFonts w:hint="eastAsia" w:ascii="方正仿宋_GBK" w:hAnsi="方正仿宋_GBK" w:eastAsia="方正仿宋_GBK" w:cs="方正仿宋_GBK"/>
          <w:color w:val="000000"/>
          <w:sz w:val="28"/>
          <w:szCs w:val="28"/>
        </w:rPr>
      </w:r>
      <w:r/>
    </w:p>
    <w:p>
      <w:pPr>
        <w:pStyle w:val="967"/>
        <w:ind w:firstLine="560"/>
        <w:spacing w:line="0" w:lineRule="atLeast"/>
        <w:rPr>
          <w:rFonts w:hint="eastAsia" w:ascii="宋体" w:hAnsi="宋体"/>
          <w:b/>
          <w:color w:val="000000"/>
          <w:sz w:val="28"/>
          <w:szCs w:val="28"/>
        </w:rPr>
      </w:pPr>
      <w:r>
        <w:rPr>
          <w:rFonts w:hint="eastAsia" w:ascii="宋体" w:hAnsi="宋体"/>
          <w:b/>
          <w:color w:val="000000"/>
          <w:sz w:val="28"/>
          <w:szCs w:val="28"/>
          <w:lang w:val="en-US" w:eastAsia="zh-CN"/>
        </w:rPr>
        <w:t xml:space="preserve">八</w:t>
      </w:r>
      <w:r>
        <w:rPr>
          <w:rFonts w:ascii="宋体" w:hAnsi="宋体"/>
          <w:b/>
          <w:color w:val="000000"/>
          <w:sz w:val="28"/>
          <w:szCs w:val="28"/>
        </w:rPr>
        <w:t xml:space="preserve">、其他要求</w:t>
      </w:r>
      <w:r>
        <w:rPr>
          <w:rFonts w:hint="eastAsia" w:ascii="宋体" w:hAnsi="宋体"/>
          <w:b/>
          <w:color w:val="000000"/>
          <w:sz w:val="28"/>
          <w:szCs w:val="28"/>
        </w:rPr>
      </w:r>
      <w:r/>
    </w:p>
    <w:p>
      <w:pPr>
        <w:pStyle w:val="967"/>
        <w:ind w:firstLine="560"/>
        <w:spacing w:line="0" w:lineRule="atLeast"/>
        <w:rPr>
          <w:rFonts w:hint="eastAsia" w:ascii="宋体" w:hAnsi="宋体"/>
          <w:color w:val="000000"/>
          <w:sz w:val="28"/>
          <w:szCs w:val="28"/>
        </w:rPr>
      </w:pPr>
      <w:r>
        <w:rPr>
          <w:rFonts w:hint="eastAsia" w:ascii="宋体" w:hAnsi="宋体"/>
          <w:color w:val="000000"/>
          <w:sz w:val="28"/>
          <w:szCs w:val="28"/>
        </w:rPr>
        <w:t xml:space="preserve">1. 项目属性:货物类项目。</w:t>
      </w:r>
      <w:r>
        <w:rPr>
          <w:rFonts w:hint="eastAsia" w:ascii="宋体" w:hAnsi="宋体"/>
          <w:color w:val="000000"/>
          <w:sz w:val="28"/>
          <w:szCs w:val="28"/>
        </w:rPr>
      </w:r>
      <w:r/>
    </w:p>
    <w:p>
      <w:pPr>
        <w:pStyle w:val="967"/>
        <w:ind w:firstLine="560"/>
        <w:spacing w:line="0" w:lineRule="atLeas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．核心产品</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3559"/>
      </w:tblGrid>
      <w:tr>
        <w:trPr/>
        <w:tc>
          <w:tcPr>
            <w:tcW w:w="1441"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3559"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核心产品</w:t>
            </w:r>
            <w:r>
              <w:rPr>
                <w:rFonts w:hint="eastAsia" w:ascii="方正仿宋_GBK" w:hAnsi="方正仿宋_GBK" w:eastAsia="方正仿宋_GBK" w:cs="方正仿宋_GBK"/>
                <w:color w:val="000000"/>
                <w:sz w:val="28"/>
                <w:szCs w:val="28"/>
              </w:rPr>
            </w:r>
            <w:r/>
          </w:p>
        </w:tc>
      </w:tr>
      <w:tr>
        <w:trPr/>
        <w:tc>
          <w:tcPr>
            <w:tcW w:w="1441"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559"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有机房乘客电梯</w:t>
            </w:r>
            <w:r>
              <w:rPr>
                <w:rFonts w:hint="eastAsia" w:ascii="方正仿宋_GBK" w:hAnsi="方正仿宋_GBK" w:eastAsia="方正仿宋_GBK" w:cs="方正仿宋_GBK"/>
                <w:color w:val="000000"/>
                <w:sz w:val="28"/>
                <w:szCs w:val="28"/>
              </w:rPr>
            </w:r>
            <w:r/>
          </w:p>
        </w:tc>
      </w:tr>
    </w:tbl>
    <w:p>
      <w:pPr>
        <w:pStyle w:val="967"/>
        <w:ind w:firstLine="56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3.进口产品投标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4541"/>
      </w:tblGrid>
      <w:tr>
        <w:trPr/>
        <w:tc>
          <w:tcPr>
            <w:tcW w:w="1468"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4541"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是否接受进口产品投标（是/否）</w:t>
            </w:r>
            <w:r>
              <w:rPr>
                <w:rFonts w:hint="eastAsia" w:ascii="方正仿宋_GBK" w:hAnsi="方正仿宋_GBK" w:eastAsia="方正仿宋_GBK" w:cs="方正仿宋_GBK"/>
                <w:color w:val="000000"/>
                <w:sz w:val="28"/>
                <w:szCs w:val="28"/>
              </w:rPr>
            </w:r>
            <w:r/>
          </w:p>
        </w:tc>
      </w:tr>
      <w:tr>
        <w:trPr/>
        <w:tc>
          <w:tcPr>
            <w:tcW w:w="1468"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4541" w:type="dxa"/>
            <w:vAlign w:val="top"/>
            <w:textDirection w:val="lrTb"/>
            <w:noWrap w:val="false"/>
          </w:tcPr>
          <w:p>
            <w:pPr>
              <w:pStyle w:val="967"/>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r>
    </w:tbl>
    <w:p>
      <w:pPr>
        <w:jc w:val="center"/>
        <w:shd w:val="nil" w:color="auto"/>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highlight w:val="none"/>
        </w:rPr>
        <w:br w:type="page" w:clear="all"/>
      </w:r>
      <w:r>
        <w:rPr>
          <w:rFonts w:hint="eastAsia" w:ascii="黑体" w:hAnsi="黑体" w:eastAsia="黑体" w:cs="Arial"/>
          <w:b w:val="0"/>
          <w:bCs w:val="0"/>
          <w:color w:val="000000"/>
          <w:sz w:val="28"/>
          <w:szCs w:val="28"/>
        </w:rPr>
        <w:t xml:space="preserve">第五章  评标方法与评标标准</w:t>
      </w:r>
      <w:r>
        <w:rPr>
          <w:rFonts w:hint="eastAsia" w:ascii="黑体" w:hAnsi="黑体" w:eastAsia="黑体" w:cs="Arial"/>
          <w:b w:val="0"/>
          <w:bCs w:val="0"/>
          <w:color w:val="000000"/>
          <w:sz w:val="28"/>
          <w:szCs w:val="28"/>
        </w:rPr>
      </w:r>
      <w:r/>
    </w:p>
    <w:p>
      <w:pPr>
        <w:pStyle w:val="967"/>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063"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71"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67"/>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063" w:type="dxa"/>
            <w:vAlign w:val="top"/>
            <w:textDirection w:val="lrTb"/>
            <w:noWrap w:val="false"/>
          </w:tcPr>
          <w:p>
            <w:pPr>
              <w:pStyle w:val="967"/>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967"/>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color w:val="000000"/>
          <w:sz w:val="28"/>
          <w:szCs w:val="28"/>
          <w:highlight w:val="yellow"/>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67"/>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67"/>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67"/>
        <w:ind w:firstLine="480"/>
        <w:jc w:val="left"/>
        <w:spacing w:before="120" w:after="120" w:line="0" w:lineRule="atLeast"/>
        <w:rPr>
          <w:rFonts w:hint="eastAsia" w:ascii="宋体" w:hAnsi="宋体"/>
          <w:b/>
          <w:color w:val="000000"/>
          <w:sz w:val="32"/>
          <w:szCs w:val="32"/>
        </w:rPr>
      </w:pPr>
      <w:r>
        <w:rPr>
          <w:rFonts w:hint="eastAsia" w:ascii="宋体" w:hAnsi="宋体"/>
          <w:b/>
          <w:color w:val="000000"/>
          <w:sz w:val="32"/>
          <w:szCs w:val="32"/>
        </w:rPr>
      </w:r>
      <w:r/>
    </w:p>
    <w:p>
      <w:pPr>
        <w:pStyle w:val="967"/>
        <w:ind w:firstLine="480"/>
        <w:jc w:val="left"/>
        <w:spacing w:before="120" w:after="120" w:line="0" w:lineRule="atLeast"/>
        <w:rPr>
          <w:rFonts w:hint="eastAsia" w:ascii="宋体" w:hAnsi="宋体"/>
          <w:b/>
          <w:color w:val="000000"/>
          <w:sz w:val="32"/>
          <w:szCs w:val="32"/>
        </w:rPr>
      </w:pPr>
      <w:r>
        <w:rPr>
          <w:rFonts w:hint="eastAsia" w:ascii="宋体" w:hAnsi="宋体"/>
          <w:b/>
          <w:color w:val="000000"/>
          <w:sz w:val="32"/>
          <w:szCs w:val="32"/>
        </w:rPr>
        <w:t xml:space="preserve">评标方法与评标标准</w:t>
      </w:r>
      <w:r>
        <w:rPr>
          <w:rFonts w:hint="eastAsia" w:ascii="宋体" w:hAnsi="宋体"/>
          <w:b/>
          <w:color w:val="000000"/>
          <w:sz w:val="32"/>
          <w:szCs w:val="32"/>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841"/>
        <w:gridCol w:w="868"/>
        <w:gridCol w:w="5539"/>
      </w:tblGrid>
      <w:tr>
        <w:trPr>
          <w:trHeight w:val="684"/>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说明</w:t>
            </w:r>
            <w:r>
              <w:rPr>
                <w:rFonts w:hint="eastAsia" w:ascii="宋体" w:hAnsi="宋体" w:eastAsia="宋体" w:cs="宋体"/>
                <w:b/>
                <w:bCs/>
                <w:i w:val="0"/>
                <w:iCs w:val="0"/>
                <w:color w:val="000000"/>
                <w:sz w:val="24"/>
                <w:szCs w:val="24"/>
                <w:u w:val="none"/>
              </w:rPr>
            </w:r>
            <w:r/>
          </w:p>
        </w:tc>
      </w:tr>
      <w:tr>
        <w:trPr>
          <w:trHeight w:val="1460"/>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投标报价</w:t>
            </w: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3"/>
                <w:rFonts w:hint="eastAsia" w:ascii="宋体" w:hAnsi="宋体" w:eastAsia="宋体" w:cs="宋体"/>
                <w:color w:val="000000"/>
                <w:sz w:val="24"/>
                <w:szCs w:val="24"/>
                <w:lang w:val="en-US" w:eastAsia="zh-CN" w:bidi="ar"/>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rPr>
                <w:rFonts w:hint="eastAsia" w:ascii="宋体" w:hAnsi="宋体" w:eastAsia="宋体" w:cs="宋体"/>
                <w:b w:val="0"/>
                <w:bCs w:val="0"/>
                <w:i w:val="0"/>
                <w:iCs w:val="0"/>
                <w:color w:val="000000"/>
                <w:sz w:val="24"/>
                <w:szCs w:val="24"/>
                <w:u w:val="none"/>
                <w:lang w:bidi="ar"/>
              </w:rPr>
            </w:r>
            <w:r/>
          </w:p>
        </w:tc>
      </w:tr>
      <w:tr>
        <w:trPr>
          <w:trHeight w:val="1200"/>
        </w:trPr>
        <w:tc>
          <w:tcPr>
            <w:tcBorders>
              <w:top w:val="single" w:color="000000" w:sz="8" w:space="0"/>
              <w:left w:val="single" w:color="000000" w:sz="8" w:space="0"/>
              <w:bottom w:val="single" w:color="000000" w:sz="8" w:space="0"/>
              <w:right w:val="single" w:color="000000" w:sz="8" w:space="0"/>
            </w:tcBorders>
            <w:tcW w:w="446"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投标产品对招标文件指标的响应情况</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479"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2.1.1（12分）</w:t>
            </w:r>
            <w:r>
              <w:rPr>
                <w:rFonts w:hint="eastAsia" w:ascii="宋体" w:hAnsi="宋体" w:eastAsia="宋体" w:cs="宋体"/>
                <w:i w:val="0"/>
                <w:iCs w:val="0"/>
                <w:color w:val="000000"/>
                <w:sz w:val="24"/>
                <w:szCs w:val="24"/>
                <w:highlight w:val="none"/>
                <w:u w:val="none"/>
                <w:lang w:val="en-US" w:eastAsia="zh-CN" w:bidi="ar"/>
              </w:rPr>
              <w:t xml:space="preserve">产品指标响</w:t>
            </w:r>
            <w:r>
              <w:rPr>
                <w:rFonts w:hint="eastAsia" w:ascii="宋体" w:hAnsi="宋体" w:eastAsia="宋体" w:cs="宋体"/>
                <w:b w:val="0"/>
                <w:bCs w:val="0"/>
                <w:i w:val="0"/>
                <w:iCs w:val="0"/>
                <w:color w:val="000000"/>
                <w:sz w:val="24"/>
                <w:szCs w:val="24"/>
                <w:highlight w:val="none"/>
                <w:u w:val="none"/>
                <w:lang w:val="en-US" w:eastAsia="zh-CN" w:bidi="ar"/>
              </w:rPr>
              <w:t xml:space="preserve">应招标文件指标要求，根据采购需求中“</w:t>
            </w:r>
            <w:r>
              <w:rPr>
                <w:rFonts w:hint="eastAsia" w:ascii="宋体" w:hAnsi="宋体" w:eastAsia="宋体" w:cs="宋体"/>
                <w:b w:val="0"/>
                <w:bCs w:val="0"/>
                <w:color w:val="000000"/>
                <w:sz w:val="24"/>
                <w:szCs w:val="24"/>
                <w:highlight w:val="none"/>
                <w:u w:val="none"/>
                <w:lang w:val="en-US" w:eastAsia="zh-CN" w:bidi="ar"/>
              </w:rPr>
              <w:t xml:space="preserve">四</w:t>
            </w:r>
            <w:r>
              <w:rPr>
                <w:rFonts w:hint="eastAsia" w:ascii="宋体" w:hAnsi="宋体" w:eastAsia="宋体" w:cs="宋体"/>
                <w:b w:val="0"/>
                <w:bCs w:val="0"/>
                <w:color w:val="000000"/>
                <w:sz w:val="24"/>
                <w:szCs w:val="24"/>
                <w:highlight w:val="none"/>
                <w:u w:val="none"/>
                <w:lang w:bidi="ar"/>
              </w:rPr>
              <w:t xml:space="preserve">、技术要求</w:t>
            </w: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五</w:t>
            </w:r>
            <w:r>
              <w:rPr>
                <w:rFonts w:hint="eastAsia" w:ascii="宋体" w:hAnsi="宋体" w:eastAsia="宋体" w:cs="宋体"/>
                <w:b w:val="0"/>
                <w:bCs w:val="0"/>
                <w:color w:val="000000"/>
                <w:sz w:val="24"/>
                <w:szCs w:val="24"/>
                <w:highlight w:val="none"/>
                <w:lang w:bidi="ar"/>
              </w:rPr>
              <w:t xml:space="preserve">）电梯设备主要参数</w:t>
            </w:r>
            <w:r>
              <w:rPr>
                <w:rFonts w:hint="eastAsia" w:ascii="宋体" w:hAnsi="宋体" w:eastAsia="宋体" w:cs="宋体"/>
                <w:b w:val="0"/>
                <w:bCs w:val="0"/>
                <w:i w:val="0"/>
                <w:iCs w:val="0"/>
                <w:color w:val="000000"/>
                <w:sz w:val="24"/>
                <w:szCs w:val="24"/>
                <w:highlight w:val="none"/>
                <w:u w:val="none"/>
                <w:lang w:val="en-US" w:eastAsia="zh-CN" w:bidi="ar"/>
              </w:rPr>
              <w:t xml:space="preserve">”，加▲的技术参数为重要指标项，共12项，不符合要求每项扣1分，总分12分，扣完为止。</w:t>
            </w:r>
            <w:r>
              <w:rPr>
                <w:rFonts w:hint="eastAsia" w:ascii="宋体" w:hAnsi="宋体" w:eastAsia="宋体" w:cs="宋体"/>
                <w:b w:val="0"/>
                <w:bCs w:val="0"/>
                <w:i w:val="0"/>
                <w:iCs w:val="0"/>
                <w:color w:val="000000"/>
                <w:sz w:val="24"/>
                <w:szCs w:val="24"/>
                <w:highlight w:val="none"/>
                <w:u w:val="none"/>
                <w:lang w:val="en-US" w:eastAsia="zh-CN" w:bidi="ar"/>
              </w:rPr>
            </w:r>
            <w:r/>
          </w:p>
          <w:p>
            <w:pPr>
              <w:pStyle w:val="967"/>
              <w:contextualSpacing w:val="0"/>
              <w:jc w:val="left"/>
              <w:rPr>
                <w:color w:val="000000"/>
                <w:highlight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（投标人需在“技术参数响应及偏离表”中如实逐项填列所投产品的参数及承诺，否则评标委员会有权做负偏离处理。）</w:t>
            </w:r>
            <w:r>
              <w:rPr>
                <w:color w:val="000000"/>
                <w:highlight w:val="none"/>
              </w:rPr>
            </w:r>
            <w:r/>
          </w:p>
          <w:p>
            <w:pPr>
              <w:pStyle w:val="967"/>
              <w:contextualSpacing w:val="0"/>
              <w:jc w:val="lef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2.1.2（4分）非加▲的技术参数指标项，共8项，不符合要求每项扣0.5分，总分4分，扣完为止。</w:t>
            </w:r>
            <w:r>
              <w:rPr>
                <w:rFonts w:hint="eastAsia" w:ascii="宋体" w:hAnsi="宋体" w:eastAsia="宋体" w:cs="宋体"/>
                <w:b w:val="0"/>
                <w:bCs w:val="0"/>
                <w:i w:val="0"/>
                <w:iCs w:val="0"/>
                <w:color w:val="000000"/>
                <w:sz w:val="24"/>
                <w:szCs w:val="24"/>
                <w:highlight w:val="none"/>
                <w:u w:val="none"/>
                <w:lang w:bidi="ar"/>
              </w:rPr>
            </w:r>
            <w:r/>
          </w:p>
        </w:tc>
      </w:tr>
      <w:tr>
        <w:trPr>
          <w:trHeight w:val="2242"/>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2.2（3分）</w:t>
            </w:r>
            <w:r>
              <w:rPr>
                <w:rFonts w:hint="eastAsia" w:ascii="宋体" w:hAnsi="宋体" w:eastAsia="宋体" w:cs="宋体"/>
                <w:b w:val="0"/>
                <w:bCs w:val="0"/>
                <w:i w:val="0"/>
                <w:iCs w:val="0"/>
                <w:color w:val="000000"/>
                <w:sz w:val="24"/>
                <w:szCs w:val="24"/>
                <w:highlight w:val="none"/>
                <w:u w:val="none"/>
                <w:lang w:val="en-US" w:eastAsia="zh-CN" w:bidi="ar"/>
              </w:rPr>
              <w:t xml:space="preserve">本项目所投垂直电梯整机报告中的</w:t>
            </w:r>
            <w:r>
              <w:rPr>
                <w:rFonts w:hint="eastAsia" w:ascii="宋体" w:hAnsi="宋体" w:eastAsia="宋体" w:cs="宋体"/>
                <w:i w:val="0"/>
                <w:iCs w:val="0"/>
                <w:color w:val="000000"/>
                <w:sz w:val="24"/>
                <w:szCs w:val="24"/>
                <w:highlight w:val="none"/>
                <w:u w:val="none"/>
                <w:lang w:val="en-US" w:eastAsia="zh-CN" w:bidi="ar"/>
              </w:rPr>
              <w:t xml:space="preserve">曳引机（驱动主机）、控制柜、安全钳、限速器、缓冲器、上行超速保护装置</w:t>
            </w:r>
            <w:r>
              <w:rPr>
                <w:rFonts w:hint="eastAsia" w:ascii="宋体" w:hAnsi="宋体" w:eastAsia="宋体" w:cs="宋体"/>
                <w:b w:val="0"/>
                <w:bCs w:val="0"/>
                <w:i w:val="0"/>
                <w:iCs w:val="0"/>
                <w:color w:val="000000"/>
                <w:sz w:val="24"/>
                <w:szCs w:val="24"/>
                <w:highlight w:val="none"/>
                <w:u w:val="none"/>
                <w:lang w:val="en-US" w:eastAsia="zh-CN" w:bidi="ar"/>
              </w:rPr>
              <w:t xml:space="preserve">为电梯制造商原厂原品牌的，上述配件每提供一项得0.5分，满分3分，上述配件非电梯制造商原厂原品牌但能满足电梯使用需求的得1分。(提供具有CMA认证的第三方检测机构出具的检测报告,证明材料放至投标文件中，否则不得分)</w:t>
            </w:r>
            <w:r>
              <w:rPr>
                <w:rFonts w:hint="eastAsia" w:ascii="宋体" w:hAnsi="宋体" w:eastAsia="宋体" w:cs="宋体"/>
                <w:b/>
                <w:bCs/>
                <w:i w:val="0"/>
                <w:iCs w:val="0"/>
                <w:color w:val="000000"/>
                <w:sz w:val="24"/>
                <w:szCs w:val="24"/>
                <w:highlight w:val="none"/>
                <w:u w:val="none"/>
              </w:rPr>
            </w:r>
            <w:r/>
          </w:p>
        </w:tc>
      </w:tr>
      <w:tr>
        <w:trPr>
          <w:trHeight w:val="1940"/>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2.3（5分）</w:t>
            </w:r>
            <w:r>
              <w:rPr>
                <w:rFonts w:hint="eastAsia" w:ascii="宋体" w:hAnsi="宋体" w:eastAsia="宋体" w:cs="宋体"/>
                <w:i w:val="0"/>
                <w:iCs w:val="0"/>
                <w:color w:val="000000"/>
                <w:sz w:val="24"/>
                <w:szCs w:val="24"/>
                <w:u w:val="none"/>
                <w:lang w:val="en-US" w:eastAsia="zh-CN" w:bidi="ar"/>
              </w:rPr>
              <w:t xml:space="preserve">所投垂直电梯门系统</w:t>
            </w:r>
            <w:r>
              <w:rPr>
                <w:rStyle w:val="1084"/>
                <w:rFonts w:hint="eastAsia" w:ascii="宋体" w:hAnsi="宋体" w:eastAsia="宋体" w:cs="宋体"/>
                <w:color w:val="000000"/>
                <w:sz w:val="24"/>
                <w:szCs w:val="24"/>
                <w:lang w:val="en-US" w:eastAsia="zh-CN" w:bidi="ar"/>
              </w:rPr>
              <w:t xml:space="preserve">（包含：门机、门控、层门、轿门、层门锁、轿门锁）</w:t>
            </w:r>
            <w:r>
              <w:rPr>
                <w:rFonts w:hint="eastAsia" w:ascii="宋体" w:hAnsi="宋体" w:eastAsia="宋体" w:cs="宋体"/>
                <w:i w:val="0"/>
                <w:iCs w:val="0"/>
                <w:color w:val="000000"/>
                <w:sz w:val="24"/>
                <w:szCs w:val="24"/>
                <w:u w:val="none"/>
                <w:lang w:val="en-US" w:eastAsia="zh-CN" w:bidi="ar"/>
              </w:rPr>
              <w:t xml:space="preserve">整体无故障运行寿命打分，无故障运行次数≥1800万次，得5分；1500万次≤无故障运行次数＜1800万次，得3分；1200万次≤无故障运行次数＜1500万次，得1分；其他不得分。（提供具有CMA认证的第三方检测机构出具的检测报告，证明材料放至投标文件中，否则不予得分）</w:t>
            </w:r>
            <w:r>
              <w:rPr>
                <w:rFonts w:hint="eastAsia" w:ascii="宋体" w:hAnsi="宋体" w:eastAsia="宋体" w:cs="宋体"/>
                <w:b/>
                <w:bCs/>
                <w:i w:val="0"/>
                <w:iCs w:val="0"/>
                <w:color w:val="000000"/>
                <w:sz w:val="24"/>
                <w:szCs w:val="24"/>
                <w:u w:val="none"/>
              </w:rPr>
            </w:r>
            <w:r/>
          </w:p>
        </w:tc>
      </w:tr>
      <w:tr>
        <w:trPr>
          <w:trHeight w:val="1460"/>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2.4（5分）</w:t>
            </w:r>
            <w:r>
              <w:rPr>
                <w:rFonts w:hint="eastAsia" w:ascii="宋体" w:hAnsi="宋体" w:eastAsia="宋体" w:cs="宋体"/>
                <w:i w:val="0"/>
                <w:iCs w:val="0"/>
                <w:color w:val="000000"/>
                <w:sz w:val="24"/>
                <w:szCs w:val="24"/>
                <w:u w:val="none"/>
                <w:lang w:val="en-US" w:eastAsia="zh-CN" w:bidi="ar"/>
              </w:rPr>
              <w:t xml:space="preserve">所投垂直电梯驱动主机制动器无故障运行寿命打分，无故障运行次数≥2000万次得5分，1500万次≤无故障运行次数＜2000万次的得3分,1000万次≤无故障运行次数＜1500万次的得1分，其他不得分。（提供具有CMA认证的第三方检测机构出具的检测报告，证明材料放至投标文件中，否则不予得分）</w:t>
            </w:r>
            <w:r>
              <w:rPr>
                <w:rFonts w:hint="eastAsia" w:ascii="宋体" w:hAnsi="宋体" w:eastAsia="宋体" w:cs="宋体"/>
                <w:b/>
                <w:bCs/>
                <w:i w:val="0"/>
                <w:iCs w:val="0"/>
                <w:color w:val="000000"/>
                <w:sz w:val="24"/>
                <w:szCs w:val="24"/>
                <w:u w:val="none"/>
              </w:rPr>
            </w:r>
            <w:r/>
          </w:p>
        </w:tc>
      </w:tr>
      <w:tr>
        <w:trPr>
          <w:trHeight w:val="1938"/>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2.5（5分）</w:t>
            </w:r>
            <w:r>
              <w:rPr>
                <w:rFonts w:hint="eastAsia" w:ascii="宋体" w:hAnsi="宋体" w:eastAsia="宋体" w:cs="宋体"/>
                <w:i w:val="0"/>
                <w:iCs w:val="0"/>
                <w:color w:val="000000"/>
                <w:sz w:val="24"/>
                <w:szCs w:val="24"/>
                <w:u w:val="none"/>
                <w:lang w:val="en-US" w:eastAsia="zh-CN" w:bidi="ar"/>
              </w:rPr>
              <w:t xml:space="preserve">所投垂直电梯控制柜抗浪涌能力打分，抗浪涌能力≥25kV的得5分；20kV≤抗浪涌能力＜25kV的得3分,15kV≤抗浪涌能力＜20kV的得1分，其他不得分。（提供具有CMA认证第三方检测机构出具的检测报告，证明材料放至投标文件中，否则不予得分）</w:t>
            </w:r>
            <w:r>
              <w:rPr>
                <w:rFonts w:hint="eastAsia" w:ascii="宋体" w:hAnsi="宋体" w:eastAsia="宋体" w:cs="宋体"/>
                <w:b w:val="0"/>
                <w:bCs w:val="0"/>
                <w:i w:val="0"/>
                <w:iCs w:val="0"/>
                <w:color w:val="000000"/>
                <w:sz w:val="24"/>
                <w:szCs w:val="24"/>
                <w:u w:val="none"/>
                <w:lang w:bidi="ar"/>
              </w:rPr>
            </w:r>
            <w:r/>
          </w:p>
        </w:tc>
      </w:tr>
      <w:tr>
        <w:trPr>
          <w:trHeight w:val="1664"/>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2.6（3分）根据GB/T 7588.1-2020,5.3.5.3.2的方法进行层门摆锤冲击试验：抗摆锤冲击动能≥460J(≥1.3倍国标冲击动能)，得3分；抗摆锤冲击动能≥390J(≥1.1倍国标冲击动能)，得2分；抗摆锤冲击动能≥353J(≥1.0倍国标冲击动能)，得1分，其他不得分。</w:t>
            </w:r>
            <w:r>
              <w:rPr>
                <w:rFonts w:hint="eastAsia" w:ascii="宋体" w:hAnsi="宋体" w:eastAsia="宋体" w:cs="宋体"/>
                <w:b w:val="0"/>
                <w:bCs w:val="0"/>
                <w:i w:val="0"/>
                <w:iCs w:val="0"/>
                <w:color w:val="000000"/>
                <w:sz w:val="24"/>
                <w:szCs w:val="24"/>
                <w:u w:val="none"/>
                <w:lang w:val="en-US" w:eastAsia="zh-CN" w:bidi="ar"/>
              </w:rPr>
            </w:r>
            <w:r/>
          </w:p>
          <w:p>
            <w:pPr>
              <w:pStyle w:val="967"/>
              <w:contextualSpacing w:val="0"/>
              <w:jc w:val="left"/>
              <w:keepLines w:val="0"/>
              <w:keepNext w:val="0"/>
              <w:widowControl/>
              <w:rPr>
                <w:rFonts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（提供具有CMA认证的第三方检测机构出具的检测报告，证明材料放至投标文件中，否则不予得分）</w:t>
            </w:r>
            <w:r>
              <w:rPr>
                <w:rFonts w:ascii="宋体" w:hAnsi="宋体" w:eastAsia="宋体" w:cs="宋体"/>
                <w:b w:val="0"/>
                <w:bCs w:val="0"/>
                <w:i w:val="0"/>
                <w:iCs w:val="0"/>
                <w:color w:val="000000"/>
                <w:sz w:val="24"/>
                <w:szCs w:val="24"/>
                <w:u w:val="none"/>
                <w:lang w:val="en-US" w:eastAsia="zh-CN" w:bidi="ar"/>
              </w:rPr>
            </w:r>
            <w:r/>
          </w:p>
        </w:tc>
      </w:tr>
      <w:tr>
        <w:trPr>
          <w:trHeight w:val="90"/>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安装方案</w:t>
            </w:r>
            <w:r>
              <w:rPr>
                <w:rFonts w:hint="eastAsia" w:ascii="宋体" w:hAnsi="宋体" w:eastAsia="宋体" w:cs="宋体"/>
                <w:i w:val="0"/>
                <w:iCs w:val="0"/>
                <w:color w:val="000000"/>
                <w:sz w:val="24"/>
                <w:szCs w:val="24"/>
                <w:highlight w:val="none"/>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3.1评委根据投标文件对第四章“采购需求”中“安装方案”响应情况进行评审</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经评委认定，投标文件对“安装方案”中“</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”三项要求的响应内容全部优于招标文件要求的（投标文件对“安装方案”中除“</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”外其他要求响应内容符合招标文件要求），本项得</w:t>
            </w:r>
            <w:r>
              <w:rPr>
                <w:rStyle w:val="1085"/>
                <w:rFonts w:hint="eastAsia" w:ascii="宋体" w:hAnsi="宋体" w:cs="宋体"/>
                <w:color w:val="000000"/>
                <w:sz w:val="24"/>
                <w:szCs w:val="24"/>
                <w:highlight w:val="none"/>
                <w:lang w:val="en-US" w:eastAsia="zh-CN" w:bidi="ar"/>
              </w:rPr>
              <w:t xml:space="preserve">5</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投标文件符合“安装方案”中全部条款要求的，视为符合招标文件，本项得</w:t>
            </w:r>
            <w:r>
              <w:rPr>
                <w:rStyle w:val="1085"/>
                <w:rFonts w:hint="eastAsia" w:ascii="宋体" w:hAnsi="宋体" w:cs="宋体"/>
                <w:color w:val="000000"/>
                <w:sz w:val="24"/>
                <w:szCs w:val="24"/>
                <w:highlight w:val="none"/>
                <w:lang w:val="en-US" w:eastAsia="zh-CN" w:bidi="ar"/>
              </w:rPr>
              <w:t xml:space="preserve">3</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投标文件未符合“安装方案”中全部条款要求的，视为不符合招标文件，本项得0分。</w:t>
            </w:r>
            <w:r>
              <w:rPr>
                <w:rFonts w:hint="eastAsia" w:ascii="宋体" w:hAnsi="宋体" w:eastAsia="宋体" w:cs="宋体"/>
                <w:b w:val="0"/>
                <w:bCs w:val="0"/>
                <w:i w:val="0"/>
                <w:iCs w:val="0"/>
                <w:color w:val="000000"/>
                <w:sz w:val="24"/>
                <w:szCs w:val="24"/>
                <w:highlight w:val="none"/>
                <w:u w:val="none"/>
                <w:lang w:bidi="ar"/>
              </w:rPr>
            </w:r>
            <w:r/>
          </w:p>
        </w:tc>
      </w:tr>
      <w:tr>
        <w:trPr>
          <w:trHeight w:val="1300"/>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应急处理预案</w:t>
            </w:r>
            <w:r>
              <w:rPr>
                <w:rFonts w:hint="eastAsia" w:ascii="宋体" w:hAnsi="宋体" w:eastAsia="宋体" w:cs="宋体"/>
                <w:i w:val="0"/>
                <w:iCs w:val="0"/>
                <w:color w:val="000000"/>
                <w:sz w:val="24"/>
                <w:szCs w:val="24"/>
                <w:highlight w:val="none"/>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4.1</w:t>
            </w:r>
            <w:r>
              <w:rPr>
                <w:rStyle w:val="1085"/>
                <w:rFonts w:hint="eastAsia" w:ascii="宋体" w:hAnsi="宋体" w:eastAsia="宋体" w:cs="宋体"/>
                <w:color w:val="000000"/>
                <w:sz w:val="24"/>
                <w:szCs w:val="24"/>
                <w:highlight w:val="none"/>
                <w:lang w:val="en-US" w:eastAsia="zh-CN" w:bidi="ar"/>
              </w:rPr>
              <w:t xml:space="preserve">评委根据投标文件对第四章“采购需求”中“</w:t>
            </w:r>
            <w:r>
              <w:rPr>
                <w:rFonts w:hint="eastAsia" w:ascii="宋体" w:hAnsi="宋体" w:eastAsia="宋体" w:cs="宋体"/>
                <w:i w:val="0"/>
                <w:iCs w:val="0"/>
                <w:color w:val="000000"/>
                <w:sz w:val="24"/>
                <w:szCs w:val="24"/>
                <w:highlight w:val="none"/>
                <w:u w:val="none"/>
                <w:lang w:val="en-US" w:eastAsia="zh-CN" w:bidi="ar"/>
              </w:rPr>
              <w:t xml:space="preserve">应急处理预案</w:t>
            </w:r>
            <w:r>
              <w:rPr>
                <w:rStyle w:val="1085"/>
                <w:rFonts w:hint="eastAsia" w:ascii="宋体" w:hAnsi="宋体" w:eastAsia="宋体" w:cs="宋体"/>
                <w:color w:val="000000"/>
                <w:sz w:val="24"/>
                <w:szCs w:val="24"/>
                <w:highlight w:val="none"/>
                <w:lang w:val="en-US" w:eastAsia="zh-CN" w:bidi="ar"/>
              </w:rPr>
              <w:t xml:space="preserve">”响应情况进行评审</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经评委认定，投标文件对“</w:t>
            </w:r>
            <w:r>
              <w:rPr>
                <w:rFonts w:hint="eastAsia" w:ascii="宋体" w:hAnsi="宋体" w:eastAsia="宋体" w:cs="宋体"/>
                <w:i w:val="0"/>
                <w:iCs w:val="0"/>
                <w:color w:val="000000"/>
                <w:sz w:val="24"/>
                <w:szCs w:val="24"/>
                <w:highlight w:val="none"/>
                <w:u w:val="none"/>
                <w:lang w:val="en-US" w:eastAsia="zh-CN" w:bidi="ar"/>
              </w:rPr>
              <w:t xml:space="preserve">应急处理预案</w:t>
            </w:r>
            <w:r>
              <w:rPr>
                <w:rStyle w:val="1085"/>
                <w:rFonts w:hint="eastAsia" w:ascii="宋体" w:hAnsi="宋体" w:eastAsia="宋体" w:cs="宋体"/>
                <w:color w:val="000000"/>
                <w:sz w:val="24"/>
                <w:szCs w:val="24"/>
                <w:highlight w:val="none"/>
                <w:lang w:val="en-US" w:eastAsia="zh-CN" w:bidi="ar"/>
              </w:rPr>
              <w:t xml:space="preserve">”中“</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”三项要求的响应内容全部优于招标文件要求的（投标文件对“安装方案”中除“</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”外其他要求响应内容符合招标文件要求），本项得</w:t>
            </w:r>
            <w:r>
              <w:rPr>
                <w:rStyle w:val="1085"/>
                <w:rFonts w:hint="eastAsia" w:ascii="宋体" w:hAnsi="宋体" w:cs="宋体"/>
                <w:color w:val="000000"/>
                <w:sz w:val="24"/>
                <w:szCs w:val="24"/>
                <w:highlight w:val="none"/>
                <w:lang w:val="en-US" w:eastAsia="zh-CN" w:bidi="ar"/>
              </w:rPr>
              <w:t xml:space="preserve">5</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投标文件符合“</w:t>
            </w:r>
            <w:r>
              <w:rPr>
                <w:rFonts w:hint="eastAsia" w:ascii="宋体" w:hAnsi="宋体" w:eastAsia="宋体" w:cs="宋体"/>
                <w:i w:val="0"/>
                <w:iCs w:val="0"/>
                <w:color w:val="000000"/>
                <w:sz w:val="24"/>
                <w:szCs w:val="24"/>
                <w:highlight w:val="none"/>
                <w:u w:val="none"/>
                <w:lang w:val="en-US" w:eastAsia="zh-CN" w:bidi="ar"/>
              </w:rPr>
              <w:t xml:space="preserve">应急处理预案</w:t>
            </w:r>
            <w:r>
              <w:rPr>
                <w:rStyle w:val="1085"/>
                <w:rFonts w:hint="eastAsia" w:ascii="宋体" w:hAnsi="宋体" w:eastAsia="宋体" w:cs="宋体"/>
                <w:color w:val="000000"/>
                <w:sz w:val="24"/>
                <w:szCs w:val="24"/>
                <w:highlight w:val="none"/>
                <w:lang w:val="en-US" w:eastAsia="zh-CN" w:bidi="ar"/>
              </w:rPr>
              <w:t xml:space="preserve">”中全部条款要求的，视为符合招标文件，本项得</w:t>
            </w:r>
            <w:r>
              <w:rPr>
                <w:rStyle w:val="1085"/>
                <w:rFonts w:hint="eastAsia" w:ascii="宋体" w:hAnsi="宋体" w:cs="宋体"/>
                <w:color w:val="000000"/>
                <w:sz w:val="24"/>
                <w:szCs w:val="24"/>
                <w:highlight w:val="none"/>
                <w:lang w:val="en-US" w:eastAsia="zh-CN" w:bidi="ar"/>
              </w:rPr>
              <w:t xml:space="preserve">3</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投标文件未符合“</w:t>
            </w:r>
            <w:r>
              <w:rPr>
                <w:rFonts w:hint="eastAsia" w:ascii="宋体" w:hAnsi="宋体" w:eastAsia="宋体" w:cs="宋体"/>
                <w:i w:val="0"/>
                <w:iCs w:val="0"/>
                <w:color w:val="000000"/>
                <w:sz w:val="24"/>
                <w:szCs w:val="24"/>
                <w:highlight w:val="none"/>
                <w:u w:val="none"/>
                <w:lang w:val="en-US" w:eastAsia="zh-CN" w:bidi="ar"/>
              </w:rPr>
              <w:t xml:space="preserve">应急处理预案</w:t>
            </w:r>
            <w:r>
              <w:rPr>
                <w:rStyle w:val="1085"/>
                <w:rFonts w:hint="eastAsia" w:ascii="宋体" w:hAnsi="宋体" w:eastAsia="宋体" w:cs="宋体"/>
                <w:color w:val="000000"/>
                <w:sz w:val="24"/>
                <w:szCs w:val="24"/>
                <w:highlight w:val="none"/>
                <w:lang w:val="en-US" w:eastAsia="zh-CN" w:bidi="ar"/>
              </w:rPr>
              <w:t xml:space="preserve">”中全部条款要求的，视为不符合招标文件，本项得0分。</w:t>
            </w:r>
            <w:r>
              <w:rPr>
                <w:rFonts w:hint="eastAsia" w:ascii="宋体" w:hAnsi="宋体" w:eastAsia="宋体" w:cs="宋体"/>
                <w:b w:val="0"/>
                <w:bCs w:val="0"/>
                <w:i w:val="0"/>
                <w:iCs w:val="0"/>
                <w:color w:val="000000"/>
                <w:sz w:val="24"/>
                <w:szCs w:val="24"/>
                <w:highlight w:val="none"/>
                <w:u w:val="none"/>
                <w:lang w:bidi="ar"/>
              </w:rPr>
            </w:r>
            <w:r/>
          </w:p>
        </w:tc>
      </w:tr>
      <w:tr>
        <w:trPr>
          <w:trHeight w:val="1180"/>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培训方案</w:t>
            </w:r>
            <w:r>
              <w:rPr>
                <w:rFonts w:hint="eastAsia" w:ascii="宋体" w:hAnsi="宋体" w:eastAsia="宋体" w:cs="宋体"/>
                <w:i w:val="0"/>
                <w:iCs w:val="0"/>
                <w:color w:val="000000"/>
                <w:sz w:val="24"/>
                <w:szCs w:val="24"/>
                <w:highlight w:val="none"/>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5.1</w:t>
            </w:r>
            <w:r>
              <w:rPr>
                <w:rStyle w:val="1085"/>
                <w:rFonts w:hint="eastAsia" w:ascii="宋体" w:hAnsi="宋体" w:eastAsia="宋体" w:cs="宋体"/>
                <w:color w:val="000000"/>
                <w:sz w:val="24"/>
                <w:szCs w:val="24"/>
                <w:highlight w:val="none"/>
                <w:lang w:val="en-US" w:eastAsia="zh-CN" w:bidi="ar"/>
              </w:rPr>
              <w:t xml:space="preserve">评委根据投标文件对第四章“采购需求”中“培训方案”响应情况进行评审。</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经评委认定，投标文件对“</w:t>
            </w:r>
            <w:r>
              <w:rPr>
                <w:rFonts w:hint="eastAsia" w:ascii="宋体" w:hAnsi="宋体" w:eastAsia="宋体" w:cs="宋体"/>
                <w:i w:val="0"/>
                <w:iCs w:val="0"/>
                <w:color w:val="000000"/>
                <w:sz w:val="24"/>
                <w:szCs w:val="24"/>
                <w:highlight w:val="none"/>
                <w:u w:val="none"/>
                <w:lang w:val="en-US" w:eastAsia="zh-CN" w:bidi="ar"/>
              </w:rPr>
              <w:t xml:space="preserve">培训方案</w:t>
            </w:r>
            <w:r>
              <w:rPr>
                <w:rStyle w:val="1085"/>
                <w:rFonts w:hint="eastAsia" w:ascii="宋体" w:hAnsi="宋体" w:eastAsia="宋体" w:cs="宋体"/>
                <w:color w:val="000000"/>
                <w:sz w:val="24"/>
                <w:szCs w:val="24"/>
                <w:highlight w:val="none"/>
                <w:lang w:val="en-US" w:eastAsia="zh-CN" w:bidi="ar"/>
              </w:rPr>
              <w:t xml:space="preserve">”中“</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”三项要求的响应内容全部优于招标文件要求的（投标文件对“安装方案”中除“</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方案要求</w:t>
            </w:r>
            <w:r>
              <w:rPr>
                <w:rStyle w:val="1085"/>
                <w:rFonts w:hint="eastAsia" w:ascii="宋体" w:hAnsi="宋体" w:eastAsia="宋体" w:cs="宋体"/>
                <w:color w:val="000000"/>
                <w:sz w:val="24"/>
                <w:szCs w:val="24"/>
                <w:highlight w:val="none"/>
                <w:lang w:val="en-US" w:eastAsia="zh-CN" w:bidi="ar"/>
              </w:rPr>
              <w:t xml:space="preserve">”外其他要求响应内容符合招标文件要求），本项得</w:t>
            </w:r>
            <w:r>
              <w:rPr>
                <w:rStyle w:val="1085"/>
                <w:rFonts w:hint="eastAsia" w:ascii="宋体" w:hAnsi="宋体" w:cs="宋体"/>
                <w:color w:val="000000"/>
                <w:sz w:val="24"/>
                <w:szCs w:val="24"/>
                <w:highlight w:val="none"/>
                <w:lang w:val="en-US" w:eastAsia="zh-CN" w:bidi="ar"/>
              </w:rPr>
              <w:t xml:space="preserve">5</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投标文件符合“</w:t>
            </w:r>
            <w:r>
              <w:rPr>
                <w:rFonts w:hint="eastAsia" w:ascii="宋体" w:hAnsi="宋体" w:eastAsia="宋体" w:cs="宋体"/>
                <w:i w:val="0"/>
                <w:iCs w:val="0"/>
                <w:color w:val="000000"/>
                <w:sz w:val="24"/>
                <w:szCs w:val="24"/>
                <w:highlight w:val="none"/>
                <w:u w:val="none"/>
                <w:lang w:val="en-US" w:eastAsia="zh-CN" w:bidi="ar"/>
              </w:rPr>
              <w:t xml:space="preserve">培训方案</w:t>
            </w:r>
            <w:r>
              <w:rPr>
                <w:rStyle w:val="1085"/>
                <w:rFonts w:hint="eastAsia" w:ascii="宋体" w:hAnsi="宋体" w:eastAsia="宋体" w:cs="宋体"/>
                <w:color w:val="000000"/>
                <w:sz w:val="24"/>
                <w:szCs w:val="24"/>
                <w:highlight w:val="none"/>
                <w:lang w:val="en-US" w:eastAsia="zh-CN" w:bidi="ar"/>
              </w:rPr>
              <w:t xml:space="preserve">”中全部条款要求的，视为符合招标文件，本项得</w:t>
            </w:r>
            <w:r>
              <w:rPr>
                <w:rStyle w:val="1085"/>
                <w:rFonts w:hint="eastAsia" w:ascii="宋体" w:hAnsi="宋体" w:cs="宋体"/>
                <w:color w:val="000000"/>
                <w:sz w:val="24"/>
                <w:szCs w:val="24"/>
                <w:highlight w:val="none"/>
                <w:lang w:val="en-US" w:eastAsia="zh-CN" w:bidi="ar"/>
              </w:rPr>
              <w:t xml:space="preserve">3</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投标文件未符合“</w:t>
            </w:r>
            <w:r>
              <w:rPr>
                <w:rFonts w:hint="eastAsia" w:ascii="宋体" w:hAnsi="宋体" w:eastAsia="宋体" w:cs="宋体"/>
                <w:i w:val="0"/>
                <w:iCs w:val="0"/>
                <w:color w:val="000000"/>
                <w:sz w:val="24"/>
                <w:szCs w:val="24"/>
                <w:highlight w:val="none"/>
                <w:u w:val="none"/>
                <w:lang w:val="en-US" w:eastAsia="zh-CN" w:bidi="ar"/>
              </w:rPr>
              <w:t xml:space="preserve">培训方案</w:t>
            </w:r>
            <w:r>
              <w:rPr>
                <w:rStyle w:val="1085"/>
                <w:rFonts w:hint="eastAsia" w:ascii="宋体" w:hAnsi="宋体" w:eastAsia="宋体" w:cs="宋体"/>
                <w:color w:val="000000"/>
                <w:sz w:val="24"/>
                <w:szCs w:val="24"/>
                <w:highlight w:val="none"/>
                <w:lang w:val="en-US" w:eastAsia="zh-CN" w:bidi="ar"/>
              </w:rPr>
              <w:t xml:space="preserve">”中全部条款要求的，视为不符合招标文件，本项得0分。</w:t>
            </w:r>
            <w:r>
              <w:rPr>
                <w:rFonts w:hint="eastAsia" w:ascii="宋体" w:hAnsi="宋体" w:eastAsia="宋体" w:cs="宋体"/>
                <w:b w:val="0"/>
                <w:bCs w:val="0"/>
                <w:i w:val="0"/>
                <w:iCs w:val="0"/>
                <w:color w:val="000000"/>
                <w:sz w:val="24"/>
                <w:szCs w:val="24"/>
                <w:highlight w:val="none"/>
                <w:u w:val="none"/>
                <w:lang w:bidi="ar"/>
              </w:rPr>
            </w:r>
            <w:r/>
          </w:p>
        </w:tc>
      </w:tr>
      <w:tr>
        <w:trPr>
          <w:trHeight w:val="1640"/>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人员配备</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项目负责人：具有机电类高级工程师技术职称和特种设备作业证(电梯)得2分，具有工程师和特种设备作业证(电梯)的得1分，没有不得分。(提供相关证书复印件加盖公章，并提供投标人为其缴纳的投标前近半年内任意一个月社保缴费证明，须明确缴费月份、个人姓名、缴费单位，且加盖社保中心章或社保中心参保缴费证明电子专用章)</w:t>
            </w:r>
            <w:r>
              <w:rPr>
                <w:rFonts w:hint="eastAsia" w:ascii="宋体" w:hAnsi="宋体" w:eastAsia="宋体" w:cs="宋体"/>
                <w:b w:val="0"/>
                <w:bCs w:val="0"/>
                <w:i w:val="0"/>
                <w:iCs w:val="0"/>
                <w:color w:val="000000"/>
                <w:sz w:val="24"/>
                <w:szCs w:val="24"/>
                <w:u w:val="none"/>
                <w:lang w:bidi="ar"/>
              </w:rPr>
            </w:r>
            <w:r/>
          </w:p>
        </w:tc>
      </w:tr>
      <w:tr>
        <w:trPr>
          <w:trHeight w:val="2071"/>
        </w:trPr>
        <w:tc>
          <w:tcPr>
            <w:tcBorders>
              <w:top w:val="single" w:color="000000" w:sz="8" w:space="0"/>
              <w:left w:val="single" w:color="000000" w:sz="8" w:space="0"/>
              <w:bottom w:val="single" w:color="000000" w:sz="8" w:space="0"/>
              <w:right w:val="single" w:color="000000" w:sz="8" w:space="0"/>
            </w:tcBorders>
            <w:tcW w:w="44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textDirection w:val="lrTb"/>
            <w:noWrap w:val="false"/>
          </w:tcPr>
          <w:p>
            <w:pPr>
              <w:pStyle w:val="967"/>
              <w:contextualSpacing w:val="0"/>
              <w:jc w:val="left"/>
              <w:keepLines w:val="0"/>
              <w:keepNext w:val="0"/>
              <w:widowControl/>
              <w:rPr>
                <w:rFonts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ascii="宋体" w:hAnsi="宋体" w:eastAsia="宋体" w:cs="宋体"/>
                <w:i w:val="0"/>
                <w:iCs w:val="0"/>
                <w:color w:val="000000"/>
                <w:sz w:val="24"/>
                <w:szCs w:val="24"/>
                <w:u w:val="none"/>
                <w:lang w:val="en-US"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rFonts w:hint="eastAsia" w:ascii="宋体" w:hAnsi="宋体" w:eastAsia="宋体" w:cs="宋体"/>
                <w:color w:val="000000"/>
                <w:sz w:val="24"/>
                <w:szCs w:val="24"/>
                <w:lang w:val="en-US" w:eastAsia="zh-CN" w:bidi="ar"/>
              </w:rPr>
              <w:t xml:space="preserve">7.1</w:t>
            </w:r>
            <w:r>
              <w:rPr>
                <w:rStyle w:val="1084"/>
                <w:color w:val="000000"/>
                <w:sz w:val="24"/>
                <w:szCs w:val="24"/>
                <w:lang w:val="en-US" w:eastAsia="zh-CN" w:bidi="ar"/>
              </w:rPr>
              <w:t xml:space="preserve">投标人自</w:t>
            </w:r>
            <w:r>
              <w:rPr>
                <w:rStyle w:val="1086"/>
                <w:rFonts w:hint="eastAsia" w:ascii="宋体" w:hAnsi="宋体" w:eastAsia="宋体" w:cs="宋体"/>
                <w:color w:val="000000"/>
                <w:sz w:val="24"/>
                <w:szCs w:val="24"/>
                <w:lang w:val="en-US" w:eastAsia="zh-CN" w:bidi="ar"/>
              </w:rPr>
              <w:t xml:space="preserve">2022</w:t>
            </w:r>
            <w:r>
              <w:rPr>
                <w:rStyle w:val="1084"/>
                <w:color w:val="000000"/>
                <w:sz w:val="24"/>
                <w:szCs w:val="24"/>
                <w:lang w:val="en-US" w:eastAsia="zh-CN" w:bidi="ar"/>
              </w:rPr>
              <w:t xml:space="preserve">年</w:t>
            </w:r>
            <w:r>
              <w:rPr>
                <w:rStyle w:val="1086"/>
                <w:rFonts w:hint="eastAsia" w:ascii="宋体" w:hAnsi="宋体" w:eastAsia="宋体" w:cs="宋体"/>
                <w:color w:val="000000"/>
                <w:sz w:val="24"/>
                <w:szCs w:val="24"/>
                <w:lang w:val="en-US" w:eastAsia="zh-CN" w:bidi="ar"/>
              </w:rPr>
              <w:t xml:space="preserve">1</w:t>
            </w:r>
            <w:r>
              <w:rPr>
                <w:rStyle w:val="1084"/>
                <w:color w:val="000000"/>
                <w:sz w:val="24"/>
                <w:szCs w:val="24"/>
                <w:lang w:val="en-US" w:eastAsia="zh-CN" w:bidi="ar"/>
              </w:rPr>
              <w:t xml:space="preserve">月</w:t>
            </w:r>
            <w:r>
              <w:rPr>
                <w:rStyle w:val="1086"/>
                <w:rFonts w:hint="eastAsia" w:ascii="宋体" w:hAnsi="宋体" w:eastAsia="宋体" w:cs="宋体"/>
                <w:color w:val="000000"/>
                <w:sz w:val="24"/>
                <w:szCs w:val="24"/>
                <w:lang w:val="en-US" w:eastAsia="zh-CN" w:bidi="ar"/>
              </w:rPr>
              <w:t xml:space="preserve">1</w:t>
            </w:r>
            <w:r>
              <w:rPr>
                <w:rStyle w:val="1084"/>
                <w:color w:val="000000"/>
                <w:sz w:val="24"/>
                <w:szCs w:val="24"/>
                <w:lang w:val="en-US" w:eastAsia="zh-CN" w:bidi="ar"/>
              </w:rPr>
              <w:t xml:space="preserve">日（以合同签订日期为准）以来具有电梯成功案例（含供货、安装及验收），每有一个得</w:t>
            </w:r>
            <w:r>
              <w:rPr>
                <w:rStyle w:val="1086"/>
                <w:rFonts w:hint="eastAsia" w:ascii="宋体" w:hAnsi="宋体" w:eastAsia="宋体" w:cs="宋体"/>
                <w:color w:val="000000"/>
                <w:sz w:val="24"/>
                <w:szCs w:val="24"/>
                <w:lang w:val="en-US" w:eastAsia="zh-CN" w:bidi="ar"/>
              </w:rPr>
              <w:t xml:space="preserve">2</w:t>
            </w:r>
            <w:r>
              <w:rPr>
                <w:rStyle w:val="1084"/>
                <w:color w:val="000000"/>
                <w:sz w:val="24"/>
                <w:szCs w:val="24"/>
                <w:lang w:val="en-US" w:eastAsia="zh-CN" w:bidi="ar"/>
              </w:rPr>
              <w:t xml:space="preserve">分，最高得</w:t>
            </w:r>
            <w:r>
              <w:rPr>
                <w:rStyle w:val="1086"/>
                <w:rFonts w:hint="eastAsia" w:ascii="宋体" w:hAnsi="宋体" w:eastAsia="宋体" w:cs="宋体"/>
                <w:color w:val="000000"/>
                <w:sz w:val="24"/>
                <w:szCs w:val="24"/>
                <w:lang w:val="en-US" w:eastAsia="zh-CN" w:bidi="ar"/>
              </w:rPr>
              <w:t xml:space="preserve">8</w:t>
            </w:r>
            <w:r>
              <w:rPr>
                <w:rStyle w:val="1084"/>
                <w:color w:val="000000"/>
                <w:sz w:val="24"/>
                <w:szCs w:val="24"/>
                <w:lang w:val="en-US" w:eastAsia="zh-CN" w:bidi="ar"/>
              </w:rPr>
              <w:t xml:space="preserve">分。【提供（1）中标通知书（</w:t>
            </w:r>
            <w:r>
              <w:rPr>
                <w:rStyle w:val="1086"/>
                <w:rFonts w:hint="eastAsia" w:ascii="宋体" w:hAnsi="宋体" w:eastAsia="宋体" w:cs="宋体"/>
                <w:color w:val="000000"/>
                <w:sz w:val="24"/>
                <w:szCs w:val="24"/>
                <w:lang w:val="en-US" w:eastAsia="zh-CN" w:bidi="ar"/>
              </w:rPr>
              <w:t xml:space="preserve">2</w:t>
            </w:r>
            <w:r>
              <w:rPr>
                <w:rStyle w:val="1084"/>
                <w:color w:val="000000"/>
                <w:sz w:val="24"/>
                <w:szCs w:val="24"/>
                <w:lang w:val="en-US" w:eastAsia="zh-CN" w:bidi="ar"/>
              </w:rPr>
              <w:t xml:space="preserve">）有效合同复印件；未提供或未按要求提供的不得分；提供的证明材料必须能反映相关数据和内容，否则不予得分】</w:t>
            </w:r>
            <w:r>
              <w:rPr>
                <w:rFonts w:hint="eastAsia" w:ascii="宋体" w:hAnsi="宋体" w:eastAsia="宋体" w:cs="宋体"/>
                <w:b w:val="0"/>
                <w:bCs w:val="0"/>
                <w:i w:val="0"/>
                <w:iCs w:val="0"/>
                <w:color w:val="000000"/>
                <w:sz w:val="24"/>
                <w:szCs w:val="24"/>
                <w:u w:val="none"/>
                <w:lang w:bidi="ar"/>
              </w:rPr>
            </w:r>
            <w:r/>
          </w:p>
        </w:tc>
      </w:tr>
      <w:tr>
        <w:trPr>
          <w:trHeight w:val="823"/>
        </w:trPr>
        <w:tc>
          <w:tcPr>
            <w:tcBorders>
              <w:top w:val="single" w:color="000000" w:sz="8" w:space="0"/>
              <w:left w:val="single" w:color="000000" w:sz="8" w:space="0"/>
              <w:bottom w:val="single" w:color="000000" w:sz="8" w:space="0"/>
              <w:right w:val="single" w:color="000000" w:sz="8" w:space="0"/>
            </w:tcBorders>
            <w:tcW w:w="446"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8.1（2分）</w:t>
            </w:r>
            <w:r>
              <w:rPr>
                <w:rFonts w:hint="eastAsia" w:ascii="宋体" w:hAnsi="宋体" w:eastAsia="宋体" w:cs="宋体"/>
                <w:i w:val="0"/>
                <w:iCs w:val="0"/>
                <w:color w:val="000000"/>
                <w:sz w:val="24"/>
                <w:szCs w:val="24"/>
                <w:u w:val="none"/>
                <w:lang w:val="en-US" w:eastAsia="zh-CN" w:bidi="ar"/>
              </w:rPr>
              <w:t xml:space="preserve">投标产品免费质保期年限超过招标文件要求的，每多提供一年的，得1分，最高不超过2分，未提供</w:t>
            </w:r>
            <w:r>
              <w:rPr>
                <w:rFonts w:hint="eastAsia" w:ascii="宋体" w:hAnsi="宋体" w:eastAsia="宋体" w:cs="宋体"/>
                <w:i w:val="0"/>
                <w:iCs w:val="0"/>
                <w:color w:val="000000"/>
                <w:sz w:val="24"/>
                <w:szCs w:val="24"/>
                <w:highlight w:val="none"/>
                <w:u w:val="none"/>
                <w:lang w:val="en-US" w:eastAsia="zh-CN" w:bidi="ar"/>
              </w:rPr>
              <w:t xml:space="preserve">或</w:t>
            </w:r>
            <w:r>
              <w:rPr>
                <w:rFonts w:hint="eastAsia" w:ascii="宋体" w:hAnsi="宋体" w:eastAsia="宋体" w:cs="宋体"/>
                <w:i w:val="0"/>
                <w:iCs w:val="0"/>
                <w:color w:val="000000"/>
                <w:sz w:val="24"/>
                <w:szCs w:val="24"/>
                <w:u w:val="none"/>
                <w:lang w:val="en-US" w:eastAsia="zh-CN" w:bidi="ar"/>
              </w:rPr>
              <w:t xml:space="preserve">未按要求提供的不得分。（提供书面承诺书并加盖公章）。</w:t>
            </w:r>
            <w:r>
              <w:rPr>
                <w:rFonts w:hint="eastAsia" w:ascii="宋体" w:hAnsi="宋体" w:eastAsia="宋体" w:cs="宋体"/>
                <w:b w:val="0"/>
                <w:bCs w:val="0"/>
                <w:i w:val="0"/>
                <w:iCs w:val="0"/>
                <w:color w:val="000000"/>
                <w:sz w:val="24"/>
                <w:szCs w:val="24"/>
                <w:u w:val="none"/>
                <w:lang w:bidi="ar"/>
              </w:rPr>
            </w:r>
            <w:r/>
          </w:p>
        </w:tc>
      </w:tr>
      <w:tr>
        <w:trPr>
          <w:trHeight w:val="90"/>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8.2（4分）评委根据投标文件对第四章“采购需求”中“</w:t>
            </w:r>
            <w:r>
              <w:rPr>
                <w:rFonts w:hint="eastAsia" w:ascii="宋体" w:hAnsi="宋体" w:eastAsia="宋体" w:cs="宋体"/>
                <w:i w:val="0"/>
                <w:iCs w:val="0"/>
                <w:color w:val="000000"/>
                <w:sz w:val="24"/>
                <w:szCs w:val="24"/>
                <w:u w:val="none"/>
                <w:lang w:val="en-US" w:eastAsia="zh-CN" w:bidi="ar"/>
              </w:rPr>
              <w:t xml:space="preserve">售后服务方案</w:t>
            </w:r>
            <w:r>
              <w:rPr>
                <w:rStyle w:val="1085"/>
                <w:rFonts w:hint="eastAsia" w:ascii="宋体" w:hAnsi="宋体" w:eastAsia="宋体" w:cs="宋体"/>
                <w:color w:val="000000"/>
                <w:sz w:val="24"/>
                <w:szCs w:val="24"/>
                <w:highlight w:val="none"/>
                <w:lang w:val="en-US" w:eastAsia="zh-CN" w:bidi="ar"/>
              </w:rPr>
              <w:t xml:space="preserve">”响应情况进行评审</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经评委认定，投标文件对“</w:t>
            </w:r>
            <w:r>
              <w:rPr>
                <w:rFonts w:hint="eastAsia" w:ascii="宋体" w:hAnsi="宋体" w:eastAsia="宋体" w:cs="宋体"/>
                <w:i w:val="0"/>
                <w:iCs w:val="0"/>
                <w:color w:val="000000"/>
                <w:sz w:val="24"/>
                <w:szCs w:val="24"/>
                <w:u w:val="none"/>
                <w:lang w:val="en-US" w:eastAsia="zh-CN" w:bidi="ar"/>
              </w:rPr>
              <w:t xml:space="preserve">售后服务方案</w:t>
            </w:r>
            <w:r>
              <w:rPr>
                <w:rStyle w:val="1085"/>
                <w:rFonts w:hint="eastAsia" w:ascii="宋体" w:hAnsi="宋体" w:eastAsia="宋体" w:cs="宋体"/>
                <w:color w:val="000000"/>
                <w:sz w:val="24"/>
                <w:szCs w:val="24"/>
                <w:highlight w:val="none"/>
                <w:lang w:val="en-US" w:eastAsia="zh-CN" w:bidi="ar"/>
              </w:rPr>
              <w:t xml:space="preserve">”中“</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售后服务方案要求</w:t>
            </w:r>
            <w:r>
              <w:rPr>
                <w:rStyle w:val="1085"/>
                <w:rFonts w:hint="eastAsia" w:ascii="宋体" w:hAnsi="宋体" w:eastAsia="宋体" w:cs="宋体"/>
                <w:color w:val="000000"/>
                <w:sz w:val="24"/>
                <w:szCs w:val="24"/>
                <w:highlight w:val="none"/>
                <w:lang w:val="en-US" w:eastAsia="zh-CN" w:bidi="ar"/>
              </w:rPr>
              <w:t xml:space="preserve">”三项要求的响应内容全部优于招标文件要求的（投标文件对“安装方案”中除“</w:t>
            </w:r>
            <w:r>
              <w:rPr>
                <w:rFonts w:hint="eastAsia" w:ascii="宋体" w:hAnsi="宋体" w:eastAsia="宋体" w:cs="宋体"/>
                <w:color w:val="000000"/>
                <w:sz w:val="24"/>
                <w:szCs w:val="24"/>
                <w:highlight w:val="none"/>
                <w:lang w:bidi="ar"/>
              </w:rPr>
              <w:t xml:space="preserve">方案概况</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方案内容</w:t>
            </w:r>
            <w:r>
              <w:rPr>
                <w:rStyle w:val="1085"/>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售后服务方案要求</w:t>
            </w:r>
            <w:r>
              <w:rPr>
                <w:rStyle w:val="1085"/>
                <w:rFonts w:hint="eastAsia" w:ascii="宋体" w:hAnsi="宋体" w:eastAsia="宋体" w:cs="宋体"/>
                <w:color w:val="000000"/>
                <w:sz w:val="24"/>
                <w:szCs w:val="24"/>
                <w:highlight w:val="none"/>
                <w:lang w:val="en-US" w:eastAsia="zh-CN" w:bidi="ar"/>
              </w:rPr>
              <w:t xml:space="preserve">”外其他要求响应内容符合招标文件要求），本项得</w:t>
            </w:r>
            <w:r>
              <w:rPr>
                <w:rStyle w:val="1085"/>
                <w:rFonts w:hint="eastAsia" w:ascii="宋体" w:hAnsi="宋体" w:cs="宋体"/>
                <w:color w:val="000000"/>
                <w:sz w:val="24"/>
                <w:szCs w:val="24"/>
                <w:highlight w:val="none"/>
                <w:lang w:val="en-US" w:eastAsia="zh-CN" w:bidi="ar"/>
              </w:rPr>
              <w:t xml:space="preserve">4</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Style w:val="1085"/>
                <w:rFonts w:hint="eastAsia" w:ascii="宋体" w:hAnsi="宋体" w:eastAsia="宋体" w:cs="宋体"/>
                <w:color w:val="000000"/>
                <w:sz w:val="24"/>
                <w:szCs w:val="24"/>
                <w:highlight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投标文件符合“</w:t>
            </w:r>
            <w:r>
              <w:rPr>
                <w:rFonts w:hint="eastAsia" w:ascii="宋体" w:hAnsi="宋体" w:eastAsia="宋体" w:cs="宋体"/>
                <w:i w:val="0"/>
                <w:iCs w:val="0"/>
                <w:color w:val="000000"/>
                <w:sz w:val="24"/>
                <w:szCs w:val="24"/>
                <w:u w:val="none"/>
                <w:lang w:val="en-US" w:eastAsia="zh-CN" w:bidi="ar"/>
              </w:rPr>
              <w:t xml:space="preserve">售后服务方案</w:t>
            </w:r>
            <w:r>
              <w:rPr>
                <w:rStyle w:val="1085"/>
                <w:rFonts w:hint="eastAsia" w:ascii="宋体" w:hAnsi="宋体" w:eastAsia="宋体" w:cs="宋体"/>
                <w:color w:val="000000"/>
                <w:sz w:val="24"/>
                <w:szCs w:val="24"/>
                <w:highlight w:val="none"/>
                <w:lang w:val="en-US" w:eastAsia="zh-CN" w:bidi="ar"/>
              </w:rPr>
              <w:t xml:space="preserve">”中全部条款要求的，视为符合招标文件，本项得</w:t>
            </w:r>
            <w:r>
              <w:rPr>
                <w:rStyle w:val="1085"/>
                <w:rFonts w:hint="eastAsia" w:ascii="宋体" w:hAnsi="宋体" w:cs="宋体"/>
                <w:color w:val="000000"/>
                <w:sz w:val="24"/>
                <w:szCs w:val="24"/>
                <w:highlight w:val="none"/>
                <w:lang w:val="en-US" w:eastAsia="zh-CN" w:bidi="ar"/>
              </w:rPr>
              <w:t xml:space="preserve">2</w:t>
            </w:r>
            <w:r>
              <w:rPr>
                <w:rStyle w:val="1085"/>
                <w:rFonts w:hint="eastAsia" w:ascii="宋体" w:hAnsi="宋体" w:eastAsia="宋体" w:cs="宋体"/>
                <w:color w:val="000000"/>
                <w:sz w:val="24"/>
                <w:szCs w:val="24"/>
                <w:highlight w:val="none"/>
                <w:lang w:val="en-US" w:eastAsia="zh-CN" w:bidi="ar"/>
              </w:rPr>
              <w:t xml:space="preserve">分。</w:t>
            </w:r>
            <w:r>
              <w:rPr>
                <w:rStyle w:val="1085"/>
                <w:rFonts w:hint="eastAsia" w:ascii="宋体" w:hAnsi="宋体" w:eastAsia="宋体" w:cs="宋体"/>
                <w:color w:val="000000"/>
                <w:sz w:val="24"/>
                <w:szCs w:val="24"/>
                <w:highlight w:val="none"/>
                <w:lang w:val="en-US" w:eastAsia="zh-CN" w:bidi="ar"/>
              </w:rPr>
            </w:r>
            <w:r/>
          </w:p>
          <w:p>
            <w:pPr>
              <w:pStyle w:val="967"/>
              <w:contextualSpacing w:val="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5"/>
                <w:rFonts w:hint="eastAsia" w:ascii="宋体" w:hAnsi="宋体" w:eastAsia="宋体" w:cs="宋体"/>
                <w:color w:val="000000"/>
                <w:sz w:val="24"/>
                <w:szCs w:val="24"/>
                <w:highlight w:val="none"/>
                <w:lang w:val="en-US" w:eastAsia="zh-CN" w:bidi="ar"/>
              </w:rPr>
              <w:t xml:space="preserve">投标文件未符合“</w:t>
            </w:r>
            <w:r>
              <w:rPr>
                <w:rFonts w:hint="eastAsia" w:ascii="宋体" w:hAnsi="宋体" w:eastAsia="宋体" w:cs="宋体"/>
                <w:i w:val="0"/>
                <w:iCs w:val="0"/>
                <w:color w:val="000000"/>
                <w:sz w:val="24"/>
                <w:szCs w:val="24"/>
                <w:u w:val="none"/>
                <w:lang w:val="en-US" w:eastAsia="zh-CN" w:bidi="ar"/>
              </w:rPr>
              <w:t xml:space="preserve">售后服务方案</w:t>
            </w:r>
            <w:r>
              <w:rPr>
                <w:rStyle w:val="1085"/>
                <w:rFonts w:hint="eastAsia" w:ascii="宋体" w:hAnsi="宋体" w:eastAsia="宋体" w:cs="宋体"/>
                <w:color w:val="000000"/>
                <w:sz w:val="24"/>
                <w:szCs w:val="24"/>
                <w:highlight w:val="none"/>
                <w:lang w:val="en-US" w:eastAsia="zh-CN" w:bidi="ar"/>
              </w:rPr>
              <w:t xml:space="preserve">”中全部条款要求的，视为不符合招标文件，本项得0分</w:t>
            </w:r>
            <w:r>
              <w:rPr>
                <w:rFonts w:hint="eastAsia" w:ascii="宋体" w:hAnsi="宋体" w:eastAsia="宋体" w:cs="宋体"/>
                <w:b w:val="0"/>
                <w:bCs w:val="0"/>
                <w:i w:val="0"/>
                <w:iCs w:val="0"/>
                <w:color w:val="000000"/>
                <w:sz w:val="24"/>
                <w:szCs w:val="24"/>
                <w:u w:val="none"/>
                <w:lang w:bidi="ar"/>
              </w:rPr>
            </w:r>
            <w:r/>
          </w:p>
        </w:tc>
      </w:tr>
      <w:tr>
        <w:trPr>
          <w:trHeight w:val="1460"/>
        </w:trPr>
        <w:tc>
          <w:tcPr>
            <w:tcBorders>
              <w:top w:val="single" w:color="000000" w:sz="8" w:space="0"/>
              <w:left w:val="single" w:color="000000" w:sz="8" w:space="0"/>
              <w:bottom w:val="single" w:color="000000" w:sz="8" w:space="0"/>
              <w:right w:val="single" w:color="000000" w:sz="8" w:space="0"/>
            </w:tcBorders>
            <w:tcW w:w="446" w:type="dxa"/>
            <w:vAlign w:val="center"/>
            <w:vMerge w:val="restart"/>
            <w:textDirection w:val="lrTb"/>
            <w:noWrap w:val="false"/>
          </w:tcPr>
          <w:p>
            <w:pPr>
              <w:pStyle w:val="967"/>
              <w:contextualSpacing w:val="0"/>
              <w:jc w:val="left"/>
              <w:keepLines w:val="0"/>
              <w:keepNext w:val="0"/>
              <w:widowControl/>
              <w:rPr>
                <w:rFonts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w:t>
            </w:r>
            <w:r>
              <w:rPr>
                <w:rFonts w:ascii="宋体" w:hAnsi="宋体" w:eastAsia="宋体" w:cs="宋体"/>
                <w:i w:val="0"/>
                <w:iCs w:val="0"/>
                <w:color w:val="000000"/>
                <w:sz w:val="24"/>
                <w:szCs w:val="24"/>
                <w:u w:val="none"/>
                <w:lang w:val="en-US"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节能环保</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restart"/>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lang w:val="en-US" w:eastAsia="zh-CN" w:bidi="ar"/>
              </w:rPr>
              <w:t xml:space="preserve">投标（响应）产品属于财政部、国家发改委公布的“节能产品品目清单”范围内的，投标人（供应商）提供国家确定的认证机构出具的、处于有效期之内的该节能产品认证证书复印件的，有1个得1分，最多得1分。如投标主要产品均属于政府强制采购节能产品品目清单范围内，本项不得分。</w:t>
            </w:r>
            <w:r>
              <w:rPr>
                <w:rFonts w:hint="eastAsia" w:ascii="宋体" w:hAnsi="宋体" w:eastAsia="宋体" w:cs="宋体"/>
                <w:i w:val="0"/>
                <w:iCs w:val="0"/>
                <w:color w:val="000000"/>
                <w:sz w:val="24"/>
                <w:szCs w:val="24"/>
                <w:u w:val="none"/>
                <w:lang w:bidi="ar"/>
              </w:rPr>
            </w:r>
            <w:r/>
          </w:p>
        </w:tc>
      </w:tr>
      <w:tr>
        <w:trPr>
          <w:trHeight w:val="1460"/>
        </w:trPr>
        <w:tc>
          <w:tcPr>
            <w:tcBorders>
              <w:top w:val="single" w:color="000000" w:sz="8" w:space="0"/>
              <w:left w:val="single" w:color="000000" w:sz="8" w:space="0"/>
              <w:bottom w:val="single" w:color="000000" w:sz="8" w:space="0"/>
              <w:right w:val="single" w:color="000000" w:sz="8" w:space="0"/>
            </w:tcBorders>
            <w:tcW w:w="44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1016"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479" w:type="dxa"/>
            <w:vAlign w:val="center"/>
            <w:vMerge w:val="continue"/>
            <w:textDirection w:val="lrTb"/>
            <w:noWrap w:val="false"/>
          </w:tcPr>
          <w:p>
            <w:pPr>
              <w:pStyle w:val="967"/>
              <w:jc w:val="left"/>
              <w:widowControl/>
              <w:rPr>
                <w:rFonts w:hint="eastAsia" w:ascii="宋体" w:hAnsi="宋体" w:eastAsia="宋体" w:cs="宋体"/>
                <w:i w:val="0"/>
                <w:iCs w:val="0"/>
                <w:color w:val="000000"/>
                <w:sz w:val="24"/>
                <w:szCs w:val="24"/>
                <w:u w:val="none"/>
                <w:lang w:bidi="ar"/>
              </w:rPr>
            </w:pPr>
            <w:r>
              <w:rPr>
                <w:rFonts w:hint="eastAsia" w:ascii="宋体" w:hAnsi="宋体" w:eastAsia="宋体" w:cs="宋体"/>
                <w:i w:val="0"/>
                <w:iCs w:val="0"/>
                <w:color w:val="000000"/>
                <w:sz w:val="24"/>
                <w:szCs w:val="24"/>
                <w:u w:val="none"/>
                <w:lang w:bidi="ar"/>
              </w:rPr>
            </w:r>
            <w:r/>
          </w:p>
        </w:tc>
        <w:tc>
          <w:tcPr>
            <w:tcBorders>
              <w:top w:val="single" w:color="000000" w:sz="8" w:space="0"/>
              <w:left w:val="single" w:color="000000" w:sz="8" w:space="0"/>
              <w:bottom w:val="single" w:color="000000" w:sz="8" w:space="0"/>
              <w:right w:val="single" w:color="000000" w:sz="8" w:space="0"/>
            </w:tcBorders>
            <w:tcW w:w="3057" w:type="dxa"/>
            <w:vAlign w:val="center"/>
            <w:textDirection w:val="lrTb"/>
            <w:noWrap w:val="false"/>
          </w:tcPr>
          <w:p>
            <w:pPr>
              <w:pStyle w:val="967"/>
              <w:contextualSpacing w:val="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lang w:val="en-US" w:eastAsia="zh-CN" w:bidi="ar"/>
              </w:rPr>
              <w:t xml:space="preserve">投标（响应）产品属于财政部、生态环境部公布的‘环境标志产品品目清单’范围内的，投标人（供应商）提供国家确定的认证机构出具的、处于有效期内的该投标（响应）产品环境标志产品认证证书复印件的，有1个得1分，最多得1分。</w:t>
            </w:r>
            <w:r>
              <w:rPr>
                <w:rFonts w:hint="eastAsia" w:ascii="宋体" w:hAnsi="宋体" w:eastAsia="宋体" w:cs="宋体"/>
                <w:i w:val="0"/>
                <w:iCs w:val="0"/>
                <w:color w:val="000000"/>
                <w:sz w:val="24"/>
                <w:szCs w:val="24"/>
                <w:u w:val="none"/>
                <w:lang w:bidi="ar"/>
              </w:rPr>
            </w:r>
            <w:r/>
          </w:p>
        </w:tc>
      </w:tr>
    </w:tbl>
    <w:p>
      <w:pPr>
        <w:pStyle w:val="967"/>
        <w:contextualSpacing w:val="0"/>
        <w:jc w:val="left"/>
        <w:rPr>
          <w:rFonts w:hint="eastAsia"/>
          <w:color w:val="000000"/>
        </w:rPr>
        <w:suppressLineNumbers w:val="0"/>
      </w:pPr>
      <w:r>
        <w:rPr>
          <w:rFonts w:hint="eastAsia"/>
          <w:color w:val="000000"/>
        </w:rPr>
      </w:r>
      <w:r/>
    </w:p>
    <w:p>
      <w:pPr>
        <w:pStyle w:val="969"/>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br w:type="page" w:clear="all"/>
      </w:r>
      <w:r>
        <w:rPr>
          <w:rFonts w:hint="eastAsia" w:ascii="黑体" w:hAnsi="黑体" w:eastAsia="黑体" w:cs="Arial"/>
          <w:b w:val="0"/>
          <w:bCs w:val="0"/>
          <w:color w:val="000000"/>
          <w:sz w:val="28"/>
          <w:szCs w:val="28"/>
        </w:rPr>
        <w:t xml:space="preserve">第六章  投标</w:t>
      </w:r>
      <w:bookmarkEnd w:id="60"/>
      <w:r/>
      <w:bookmarkEnd w:id="61"/>
      <w:r/>
      <w:bookmarkEnd w:id="62"/>
      <w:r>
        <w:rPr>
          <w:rFonts w:hint="eastAsia" w:ascii="黑体" w:hAnsi="黑体" w:eastAsia="黑体" w:cs="Arial"/>
          <w:b w:val="0"/>
          <w:bCs w:val="0"/>
          <w:color w:val="000000"/>
          <w:sz w:val="28"/>
          <w:szCs w:val="28"/>
        </w:rPr>
        <w:t xml:space="preserve">文件格式</w:t>
      </w:r>
      <w:r>
        <w:rPr>
          <w:rFonts w:hint="eastAsia" w:ascii="黑体" w:hAnsi="黑体" w:eastAsia="黑体" w:cs="Arial"/>
          <w:b w:val="0"/>
          <w:bCs w:val="0"/>
          <w:color w:val="000000"/>
          <w:sz w:val="28"/>
          <w:szCs w:val="28"/>
        </w:rPr>
      </w:r>
      <w:r/>
    </w:p>
    <w:p>
      <w:pPr>
        <w:pStyle w:val="967"/>
        <w:jc w:val="center"/>
        <w:pageBreakBefore w:val="0"/>
        <w:spacing w:line="400" w:lineRule="exact"/>
        <w:widowControl w:val="off"/>
        <w:rPr>
          <w:rFonts w:hint="eastAsia" w:ascii="宋体" w:hAnsi="宋体"/>
          <w:b/>
          <w:color w:val="000000"/>
          <w:sz w:val="28"/>
          <w:szCs w:val="28"/>
        </w:rPr>
      </w:pPr>
      <w:r/>
      <w:bookmarkStart w:id="63" w:name="_Hlt26955039"/>
      <w:r/>
      <w:bookmarkEnd w:id="63"/>
      <w:r/>
      <w:bookmarkStart w:id="64" w:name="_Hlt26671244"/>
      <w:r/>
      <w:bookmarkEnd w:id="64"/>
      <w:r/>
      <w:bookmarkStart w:id="65" w:name="_Toc49090576"/>
      <w:r/>
      <w:bookmarkStart w:id="66" w:name="_Toc26554094"/>
      <w:r/>
      <w:bookmarkStart w:id="67" w:name="_Toc120614282"/>
      <w:r>
        <w:rPr>
          <w:rFonts w:hint="eastAsia" w:ascii="宋体" w:hAnsi="宋体"/>
          <w:b/>
          <w:color w:val="000000"/>
          <w:sz w:val="28"/>
          <w:szCs w:val="28"/>
        </w:rPr>
      </w:r>
      <w:r/>
    </w:p>
    <w:p>
      <w:pPr>
        <w:pStyle w:val="967"/>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6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6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67"/>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6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6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6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67"/>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67"/>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67"/>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br w:type="page" w:clear="all"/>
      </w:r>
      <w:r>
        <w:rPr>
          <w:rFonts w:hint="eastAsia" w:ascii="方正黑体_GBK" w:hAnsi="方正黑体_GBK" w:eastAsia="方正黑体_GBK" w:cs="方正黑体_GBK"/>
          <w:b w:val="0"/>
          <w:bCs w:val="0"/>
          <w:color w:val="000000"/>
          <w:sz w:val="28"/>
          <w:szCs w:val="28"/>
        </w:rPr>
        <w:t xml:space="preserve">投标文件的组成</w:t>
      </w:r>
      <w:r>
        <w:rPr>
          <w:rFonts w:hint="eastAsia" w:ascii="方正黑体_GBK" w:hAnsi="方正黑体_GBK" w:eastAsia="方正黑体_GBK" w:cs="方正黑体_GBK"/>
          <w:b w:val="0"/>
          <w:bCs w:val="0"/>
          <w:color w:val="000000"/>
          <w:sz w:val="28"/>
          <w:szCs w:val="28"/>
        </w:rPr>
      </w:r>
      <w:r/>
    </w:p>
    <w:p>
      <w:pPr>
        <w:pStyle w:val="967"/>
        <w:jc w:val="center"/>
        <w:keepLines w:val="0"/>
        <w:keepNext w:val="0"/>
        <w:pageBreakBefore w:val="0"/>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6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一、基本目录</w:t>
      </w:r>
      <w:r>
        <w:rPr>
          <w:rFonts w:hint="eastAsia" w:ascii="方正黑体_GBK" w:hAnsi="方正黑体_GBK" w:eastAsia="方正黑体_GBK" w:cs="方正黑体_GBK"/>
          <w:b w:val="0"/>
          <w:bCs w:val="0"/>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二、资格审查内容</w:t>
      </w:r>
      <w:r>
        <w:rPr>
          <w:rFonts w:hint="eastAsia" w:ascii="方正黑体_GBK" w:hAnsi="方正黑体_GBK" w:eastAsia="方正黑体_GBK" w:cs="方正黑体_GBK"/>
          <w:b w:val="0"/>
          <w:bCs w:val="0"/>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 2024或2025</w:t>
      </w:r>
      <w:r>
        <w:rPr>
          <w:rFonts w:hint="eastAsia" w:ascii="方正仿宋_GBK" w:hAnsi="方正仿宋_GBK" w:eastAsia="方正仿宋_GBK" w:cs="方正仿宋_GBK"/>
          <w:color w:val="000000"/>
          <w:sz w:val="28"/>
          <w:szCs w:val="28"/>
        </w:rPr>
        <w:t xml:space="preserve">年度的财务状况报告（投标人成立不满一年无需提供）</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条、8、9条投标人必须在投标文件中提供相关材料，否则作无效投标处理。</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三、符合性审查内容</w:t>
      </w:r>
      <w:r>
        <w:rPr>
          <w:rFonts w:hint="eastAsia" w:ascii="方正黑体_GBK" w:hAnsi="方正黑体_GBK" w:eastAsia="方正黑体_GBK" w:cs="方正黑体_GBK"/>
          <w:b w:val="0"/>
          <w:bCs w:val="0"/>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w:t>
      </w:r>
      <w:r>
        <w:rPr>
          <w:rFonts w:hint="eastAsia" w:ascii="方正仿宋_GBK" w:hAnsi="方正仿宋_GBK" w:eastAsia="方正仿宋_GBK" w:cs="方正仿宋_GBK"/>
          <w:color w:val="000000"/>
          <w:sz w:val="28"/>
          <w:szCs w:val="28"/>
          <w:lang w:eastAsia="zh-CN"/>
        </w:rPr>
        <w:t xml:space="preserve">作</w:t>
      </w:r>
      <w:r>
        <w:rPr>
          <w:rFonts w:hint="eastAsia" w:ascii="方正仿宋_GBK" w:hAnsi="方正仿宋_GBK" w:eastAsia="方正仿宋_GBK" w:cs="方正仿宋_GBK"/>
          <w:color w:val="000000"/>
          <w:sz w:val="28"/>
          <w:szCs w:val="28"/>
        </w:rPr>
        <w:t xml:space="preserve">无效投标处理。（格式见附件1</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四、价格扣除证明文件</w:t>
      </w:r>
      <w:r>
        <w:rPr>
          <w:rFonts w:hint="eastAsia" w:ascii="方正黑体_GBK" w:hAnsi="方正黑体_GBK" w:eastAsia="方正黑体_GBK" w:cs="方正黑体_GBK"/>
          <w:b w:val="0"/>
          <w:bCs w:val="0"/>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67"/>
        <w:ind w:firstLine="480"/>
        <w:keepLines w:val="0"/>
        <w:keepNext w:val="0"/>
        <w:pageBreakBefore w:val="0"/>
        <w:spacing w:line="400" w:lineRule="exact"/>
        <w:rPr>
          <w:rFonts w:hint="eastAsia" w:ascii="宋体" w:hAnsi="宋体"/>
          <w:color w:val="000000"/>
          <w:sz w:val="24"/>
          <w:szCs w:val="21"/>
        </w:rPr>
      </w:pPr>
      <w:r>
        <w:rPr>
          <w:rFonts w:hint="eastAsia" w:ascii="宋体" w:hAnsi="宋体"/>
          <w:color w:val="000000"/>
          <w:sz w:val="24"/>
          <w:szCs w:val="21"/>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附件1 开标一览表</w:t>
      </w:r>
      <w:r>
        <w:rPr>
          <w:rFonts w:hint="eastAsia" w:ascii="方正黑体_GBK" w:hAnsi="方正黑体_GBK" w:eastAsia="方正黑体_GBK" w:cs="方正黑体_GBK"/>
          <w:b w:val="0"/>
          <w:bCs/>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color w:val="000000"/>
          <w:sz w:val="28"/>
          <w:szCs w:val="28"/>
          <w:lang w:val="en-US" w:eastAsia="zh-CN"/>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7"/>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gridSpan w:val="2"/>
            <w:tcW w:w="8886" w:type="dxa"/>
            <w:vAlign w:val="center"/>
            <w:textDirection w:val="lrTb"/>
            <w:noWrap w:val="false"/>
          </w:tcPr>
          <w:p>
            <w:pPr>
              <w:pStyle w:val="967"/>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r>
        <w:trPr>
          <w:cantSplit/>
          <w:trHeight w:val="505"/>
        </w:trPr>
        <w:tc>
          <w:tcPr>
            <w:tcW w:w="2481"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核心产品品牌</w:t>
            </w:r>
            <w:r>
              <w:rPr>
                <w:rFonts w:hint="eastAsia" w:ascii="方正仿宋_GBK" w:hAnsi="方正仿宋_GBK" w:eastAsia="方正仿宋_GBK" w:cs="方正仿宋_GBK"/>
                <w:color w:val="000000"/>
                <w:sz w:val="28"/>
                <w:szCs w:val="28"/>
              </w:rPr>
            </w:r>
            <w:r/>
          </w:p>
        </w:tc>
        <w:tc>
          <w:tcPr>
            <w:tcW w:w="6405" w:type="dxa"/>
            <w:vAlign w:val="center"/>
            <w:textDirection w:val="lrTb"/>
            <w:noWrap w:val="false"/>
          </w:tcPr>
          <w:p>
            <w:pPr>
              <w:pStyle w:val="967"/>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7"/>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附件2 投标分项报价表（采购包号：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57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产品</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57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10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57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7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57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514" w:type="dxa"/>
            <w:vAlign w:val="top"/>
            <w:textDirection w:val="lrTb"/>
            <w:noWrap w:val="false"/>
          </w:tcPr>
          <w:p>
            <w:pPr>
              <w:pStyle w:val="967"/>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514" w:type="dxa"/>
            <w:vAlign w:val="top"/>
            <w:textDirection w:val="lrTb"/>
            <w:noWrap w:val="false"/>
          </w:tcPr>
          <w:p>
            <w:pPr>
              <w:pStyle w:val="102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color w:val="000000"/>
          <w:sz w:val="28"/>
          <w:szCs w:val="28"/>
          <w:lang w:eastAsia="zh-CN"/>
        </w:rPr>
        <w:t xml:space="preserve">数额为各“分项总价”之和。</w:t>
      </w:r>
      <w:r>
        <w:rPr>
          <w:rFonts w:hint="eastAsia" w:ascii="方正仿宋_GBK" w:hAnsi="方正仿宋_GBK" w:eastAsia="方正仿宋_GBK" w:cs="方正仿宋_GBK"/>
          <w:color w:val="000000"/>
          <w:sz w:val="28"/>
          <w:szCs w:val="28"/>
          <w:lang w:eastAsia="zh-CN"/>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eastAsia="zh-CN"/>
        </w:rPr>
        <w:t xml:space="preserve">本</w:t>
      </w:r>
      <w:r>
        <w:rPr>
          <w:rFonts w:hint="eastAsia" w:ascii="方正仿宋_GBK" w:hAnsi="方正仿宋_GBK" w:eastAsia="方正仿宋_GBK" w:cs="方正仿宋_GBK"/>
          <w:color w:val="000000"/>
          <w:sz w:val="28"/>
          <w:szCs w:val="28"/>
          <w:lang w:val="en-US" w:eastAsia="zh-CN"/>
        </w:rPr>
        <w:t xml:space="preserve">采购包中含有多种产品时，</w:t>
      </w:r>
      <w:r>
        <w:rPr>
          <w:rFonts w:hint="eastAsia" w:ascii="方正仿宋_GBK" w:hAnsi="方正仿宋_GBK" w:eastAsia="方正仿宋_GBK" w:cs="方正仿宋_GBK"/>
          <w:color w:val="000000"/>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.投标人需认真填写本报价表，尤其注意规格型号的准确填写。</w:t>
      </w:r>
      <w:r>
        <w:rPr>
          <w:rFonts w:hint="eastAsia" w:ascii="方正仿宋_GBK" w:hAnsi="方正仿宋_GBK" w:eastAsia="方正仿宋_GBK" w:cs="方正仿宋_GBK"/>
          <w:color w:val="000000"/>
          <w:sz w:val="28"/>
          <w:szCs w:val="28"/>
        </w:rPr>
      </w:r>
      <w:r/>
    </w:p>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.项目经办人可以根据项目实际需要对表格结构进行调整。</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7"/>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附件3-1  证明材料1，证明材料2，……</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 w:val="0"/>
          <w:bCs/>
          <w:color w:val="000000"/>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7"/>
        <w:ind w:firstLine="482"/>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lang w:val="en-US" w:eastAsia="zh-CN"/>
        </w:rPr>
        <w:t xml:space="preserve">附件4-1  证明材料1，证明材料2，……</w:t>
      </w:r>
      <w:r>
        <w:rPr>
          <w:rFonts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 w:val="0"/>
          <w:bCs/>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67"/>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65"/>
      <w:r/>
      <w:bookmarkEnd w:id="66"/>
      <w:r/>
      <w:bookmarkEnd w:id="67"/>
      <w:r/>
      <w:bookmarkStart w:id="68" w:name="_Toc120614284"/>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7"/>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7"/>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附件7                   法人授权书</w:t>
      </w:r>
      <w:r>
        <w:rPr>
          <w:rFonts w:hint="eastAsia" w:ascii="方正黑体_GBK" w:hAnsi="方正黑体_GBK" w:eastAsia="方正黑体_GBK" w:cs="方正黑体_GBK"/>
          <w:b w:val="0"/>
          <w:bCs/>
          <w:color w:val="000000"/>
          <w:sz w:val="28"/>
          <w:szCs w:val="28"/>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6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69" w:name="_Hlt26955070"/>
      <w:r/>
      <w:bookmarkEnd w:id="69"/>
      <w:r/>
      <w:bookmarkStart w:id="70" w:name="_Hlt26671380"/>
      <w:r/>
      <w:bookmarkEnd w:id="70"/>
      <w:r/>
      <w:bookmarkStart w:id="71" w:name="_格式3__银行出具的资信证明"/>
      <w:r/>
      <w:bookmarkEnd w:id="71"/>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67"/>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7"/>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附件8                    投标函</w:t>
      </w:r>
      <w:r>
        <w:rPr>
          <w:rFonts w:ascii="黑体" w:hAnsi="黑体" w:eastAsia="黑体"/>
          <w:b/>
          <w:i/>
          <w:color w:val="000000"/>
          <w:sz w:val="28"/>
          <w:szCs w:val="28"/>
          <w:u w:val="single"/>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67"/>
        <w:ind w:left="420" w:firstLine="560"/>
        <w:jc w:val="left"/>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67"/>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67"/>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7"/>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附件9  中小微企业声明函（货物类项目）（采购包号：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lang w:eastAsia="zh-CN"/>
        </w:rPr>
        <w:t xml:space="preserve">采购</w:t>
      </w:r>
      <w:r>
        <w:rPr>
          <w:rFonts w:hint="eastAsia" w:ascii="方正仿宋_GBK" w:hAnsi="方正仿宋_GBK" w:eastAsia="方正仿宋_GBK" w:cs="方正仿宋_GBK"/>
          <w:color w:val="000000"/>
          <w:sz w:val="28"/>
          <w:szCs w:val="28"/>
          <w:u w:val="none"/>
        </w:rPr>
        <w:t xml:space="preserve">单位名称）</w:t>
      </w:r>
      <w:r>
        <w:rPr>
          <w:rFonts w:hint="eastAsia" w:ascii="方正仿宋_GBK" w:hAnsi="方正仿宋_GBK" w:eastAsia="方正仿宋_GBK" w:cs="方正仿宋_GBK"/>
          <w:color w:val="000000"/>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行业；产品制造商为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人，营业收入为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万元，资产总额为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万元，属于</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中型企业 □小型企业 </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微型企业）；</w:t>
      </w:r>
      <w:r>
        <w:rPr>
          <w:rFonts w:hint="eastAsia" w:ascii="方正仿宋_GBK" w:hAnsi="方正仿宋_GBK" w:eastAsia="方正仿宋_GBK" w:cs="方正仿宋_GBK"/>
          <w:i/>
          <w:color w:val="000000"/>
          <w:sz w:val="28"/>
          <w:szCs w:val="28"/>
          <w:u w:val="single"/>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行业；产品制造商为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人，营业收入为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万元，资产总额为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万元，属于</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中型企业 □小型企业 </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微型企业）；</w:t>
      </w:r>
      <w:r>
        <w:rPr>
          <w:rFonts w:hint="eastAsia" w:ascii="方正仿宋_GBK" w:hAnsi="方正仿宋_GBK" w:eastAsia="方正仿宋_GBK" w:cs="方正仿宋_GBK"/>
          <w:i/>
          <w:color w:val="000000"/>
          <w:sz w:val="28"/>
          <w:szCs w:val="28"/>
          <w:u w:val="single"/>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967"/>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企业名称（加盖CA电子公章）：</w:t>
      </w:r>
      <w:r>
        <w:rPr>
          <w:rFonts w:hint="eastAsia" w:ascii="方正仿宋_GBK" w:hAnsi="方正仿宋_GBK" w:eastAsia="方正仿宋_GBK" w:cs="方正仿宋_GBK"/>
          <w:color w:val="000000"/>
          <w:sz w:val="28"/>
          <w:szCs w:val="28"/>
        </w:rPr>
      </w:r>
      <w:r/>
    </w:p>
    <w:p>
      <w:pPr>
        <w:pStyle w:val="967"/>
        <w:ind w:right="480" w:firstLine="364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rPr>
        <w:t xml:space="preserve">        </w:t>
      </w:r>
      <w:r>
        <w:rPr>
          <w:rFonts w:ascii="宋体" w:hAnsi="宋体"/>
          <w:color w:val="000000"/>
          <w:sz w:val="28"/>
          <w:szCs w:val="28"/>
        </w:rPr>
      </w:r>
      <w:r/>
    </w:p>
    <w:p>
      <w:pPr>
        <w:pStyle w:val="967"/>
        <w:ind w:firstLine="560"/>
        <w:jc w:val="left"/>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67"/>
        <w:ind w:firstLine="560"/>
        <w:jc w:val="left"/>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67"/>
        <w:ind w:firstLine="560"/>
        <w:jc w:val="left"/>
        <w:keepLines w:val="0"/>
        <w:keepNext w:val="0"/>
        <w:pageBreakBefore w:val="0"/>
        <w:spacing w:line="400" w:lineRule="exact"/>
        <w:widowControl w:val="off"/>
        <w:rPr>
          <w:rFonts w:hint="eastAsia" w:ascii="宋体" w:hAnsi="宋体"/>
          <w:color w:val="000000"/>
          <w:sz w:val="28"/>
          <w:szCs w:val="28"/>
        </w:rPr>
      </w:pPr>
      <w:r>
        <w:rPr>
          <w:rFonts w:hint="eastAsia" w:ascii="方正黑体_GBK" w:hAnsi="方正黑体_GBK" w:eastAsia="方正黑体_GBK" w:cs="方正黑体_GBK"/>
          <w:b w:val="0"/>
          <w:bCs/>
          <w:color w:val="000000"/>
          <w:sz w:val="28"/>
          <w:szCs w:val="28"/>
        </w:rPr>
        <w:t xml:space="preserve">附件10残疾人福利性单位声明函（货物类项目）（采购包号：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color w:val="000000"/>
          <w:sz w:val="28"/>
          <w:szCs w:val="28"/>
          <w:lang w:eastAsia="zh-CN"/>
        </w:rPr>
        <w:t xml:space="preserve">加</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lang w:eastAsia="zh-CN"/>
        </w:rPr>
        <w:t xml:space="preserve">，</w:t>
      </w:r>
      <w:r>
        <w:rPr>
          <w:rFonts w:hint="eastAsia" w:ascii="方正仿宋_GBK" w:hAnsi="方正仿宋_GBK" w:eastAsia="方正仿宋_GBK" w:cs="方正仿宋_GBK"/>
          <w:color w:val="000000"/>
          <w:sz w:val="28"/>
          <w:szCs w:val="28"/>
          <w:u w:val="single"/>
        </w:rPr>
        <w:t xml:space="preserve">      </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967"/>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67"/>
        <w:ind w:right="180" w:firstLine="584"/>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仿宋_GB2312" w:hAnsi="Times New Roman" w:eastAsia="仿宋_GB2312"/>
          <w:color w:val="000000"/>
          <w:spacing w:val="6"/>
          <w:sz w:val="28"/>
          <w:szCs w:val="28"/>
        </w:rPr>
        <w:t xml:space="preserve">             </w:t>
      </w:r>
      <w:r>
        <w:rPr>
          <w:rFonts w:hint="eastAsia" w:ascii="宋体" w:hAnsi="宋体"/>
          <w:color w:val="000000"/>
          <w:sz w:val="28"/>
          <w:szCs w:val="28"/>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67"/>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日  期：___年____月____日 </w:t>
      </w:r>
      <w:r>
        <w:rPr>
          <w:rFonts w:hint="eastAsia" w:ascii="方正仿宋_GBK" w:hAnsi="方正仿宋_GBK" w:eastAsia="方正仿宋_GBK" w:cs="方正仿宋_GBK"/>
          <w:color w:val="000000"/>
          <w:sz w:val="28"/>
          <w:szCs w:val="28"/>
        </w:rPr>
      </w:r>
      <w:r/>
    </w:p>
    <w:p>
      <w:pPr>
        <w:pStyle w:val="967"/>
        <w:jc w:val="center"/>
        <w:keepLines w:val="0"/>
        <w:keepNext w:val="0"/>
        <w:pageBreakBefore w:val="0"/>
        <w:spacing w:line="400" w:lineRule="exact"/>
        <w:rPr>
          <w:rFonts w:hint="eastAsia" w:ascii="黑体" w:hAnsi="黑体" w:eastAsia="黑体"/>
          <w:b/>
          <w:color w:val="000000"/>
          <w:sz w:val="28"/>
          <w:szCs w:val="28"/>
          <w:lang w:eastAsia="zh-CN"/>
        </w:rPr>
      </w:pPr>
      <w:r>
        <w:rPr>
          <w:rFonts w:hint="eastAsia" w:ascii="黑体" w:hAnsi="黑体" w:eastAsia="黑体"/>
          <w:b/>
          <w:color w:val="000000"/>
          <w:sz w:val="28"/>
          <w:szCs w:val="28"/>
          <w:lang w:eastAsia="zh-CN"/>
        </w:rPr>
      </w:r>
      <w:r/>
    </w:p>
    <w:p>
      <w:pPr>
        <w:pStyle w:val="967"/>
        <w:jc w:val="center"/>
        <w:keepLines w:val="0"/>
        <w:keepNext w:val="0"/>
        <w:pageBreakBefore w:val="0"/>
        <w:spacing w:line="400" w:lineRule="exact"/>
        <w:rPr>
          <w:rFonts w:hint="eastAsia" w:ascii="黑体" w:hAnsi="黑体" w:eastAsia="黑体"/>
          <w:b/>
          <w:color w:val="000000"/>
          <w:sz w:val="28"/>
          <w:szCs w:val="28"/>
          <w:lang w:eastAsia="zh-CN"/>
        </w:rPr>
      </w:pPr>
      <w:r>
        <w:rPr>
          <w:rFonts w:hint="eastAsia" w:ascii="黑体" w:hAnsi="黑体" w:eastAsia="黑体"/>
          <w:b/>
          <w:color w:val="000000"/>
          <w:sz w:val="28"/>
          <w:szCs w:val="28"/>
          <w:lang w:eastAsia="zh-CN"/>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7"/>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67"/>
        <w:ind w:firstLine="560"/>
        <w:jc w:val="left"/>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 w:val="0"/>
          <w:bCs/>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附件1</w:t>
      </w:r>
      <w:r>
        <w:rPr>
          <w:rFonts w:hint="eastAsia" w:ascii="方正黑体_GBK" w:hAnsi="方正黑体_GBK" w:eastAsia="方正黑体_GBK" w:cs="方正黑体_GBK"/>
          <w:b w:val="0"/>
          <w:bCs/>
          <w:color w:val="000000"/>
          <w:sz w:val="28"/>
          <w:szCs w:val="28"/>
          <w:lang w:val="en-US" w:eastAsia="zh-CN"/>
        </w:rPr>
        <w:t xml:space="preserve">1</w:t>
      </w:r>
      <w:r>
        <w:rPr>
          <w:rFonts w:hint="eastAsia" w:ascii="方正黑体_GBK" w:hAnsi="方正黑体_GBK" w:eastAsia="方正黑体_GBK" w:cs="方正黑体_GBK"/>
          <w:b w:val="0"/>
          <w:bCs/>
          <w:color w:val="000000"/>
          <w:sz w:val="28"/>
          <w:szCs w:val="28"/>
        </w:rPr>
        <w:t xml:space="preserve">实质性要求响应及偏离表（采购包号：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67"/>
        <w:ind w:firstLine="280"/>
        <w:jc w:val="left"/>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附件1</w:t>
      </w:r>
      <w:r>
        <w:rPr>
          <w:rFonts w:hint="eastAsia" w:ascii="方正黑体_GBK" w:hAnsi="方正黑体_GBK" w:eastAsia="方正黑体_GBK" w:cs="方正黑体_GBK"/>
          <w:b w:val="0"/>
          <w:bCs/>
          <w:color w:val="000000"/>
          <w:sz w:val="28"/>
          <w:szCs w:val="28"/>
          <w:lang w:val="en-US" w:eastAsia="zh-CN"/>
        </w:rPr>
        <w:t xml:space="preserve">2</w:t>
      </w:r>
      <w:r>
        <w:rPr>
          <w:rFonts w:hint="eastAsia" w:ascii="方正黑体_GBK" w:hAnsi="方正黑体_GBK" w:eastAsia="方正黑体_GBK" w:cs="方正黑体_GBK"/>
          <w:b w:val="0"/>
          <w:bCs/>
          <w:color w:val="000000"/>
          <w:sz w:val="28"/>
          <w:szCs w:val="28"/>
        </w:rPr>
        <w:t xml:space="preserve">  关于符合本国产品标准的声明函（采购包号：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102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4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4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29"/>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2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29"/>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2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7"/>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58"/>
      <w:r/>
      <w:bookmarkEnd w:id="59"/>
      <w:r/>
      <w:bookmarkEnd w:id="68"/>
      <w:r>
        <w:rPr>
          <w:rFonts w:hint="eastAsia" w:ascii="方正黑体_GBK" w:hAnsi="方正黑体_GBK" w:eastAsia="方正黑体_GBK" w:cs="方正黑体_GBK"/>
          <w:b w:val="0"/>
          <w:bCs/>
          <w:color w:val="000000"/>
          <w:sz w:val="28"/>
          <w:szCs w:val="28"/>
        </w:rPr>
        <w:t xml:space="preserve">质疑函范本</w:t>
      </w:r>
      <w:r>
        <w:rPr>
          <w:rFonts w:hint="eastAsia" w:ascii="方正黑体_GBK" w:hAnsi="方正黑体_GBK" w:eastAsia="方正黑体_GBK" w:cs="方正黑体_GBK"/>
          <w:b w:val="0"/>
          <w:bCs/>
          <w:color w:val="000000"/>
          <w:sz w:val="28"/>
          <w:szCs w:val="28"/>
        </w:rPr>
      </w:r>
      <w:r/>
    </w:p>
    <w:p>
      <w:pPr>
        <w:pStyle w:val="967"/>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67"/>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67"/>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67"/>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67"/>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汉仪书宋二S">
    <w:panose1 w:val="020B0503020202020204"/>
  </w:font>
  <w:font w:name="方正魏碑_GBK">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pPr>
    <w:r/>
    <w:r/>
  </w:p>
  <w:p>
    <w:pPr>
      <w:pStyle w:val="10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eastAsia="宋体"/>
                              <w:sz w:val="28"/>
                            </w:rPr>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eastAsia="宋体"/>
                        <w:sz w:val="28"/>
                      </w:rPr>
                    </w:r>
                    <w:r/>
                  </w:p>
                  <w:p>
                    <w:pPr>
                      <w:pStyle w:val="967"/>
                    </w:pPr>
                    <w:r/>
                    <w:r/>
                  </w:p>
                </w:txbxContent>
              </v:textbox>
            </v:shape>
          </w:pict>
        </mc:Fallback>
      </mc:AlternateContent>
    </w:r>
    <w:r/>
  </w:p>
  <w:p>
    <w:pPr>
      <w:pStyle w:val="10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eastAsia="宋体"/>
                              <w:sz w:val="28"/>
                            </w:rPr>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eastAsia="宋体"/>
                        <w:sz w:val="28"/>
                      </w:rPr>
                    </w:r>
                    <w:r/>
                  </w:p>
                  <w:p>
                    <w:pPr>
                      <w:pStyle w:val="96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rPr>
        <w:rStyle w:val="1039"/>
      </w:rPr>
    </w:r>
    <w:r/>
  </w:p>
  <w:p>
    <w:pPr>
      <w:pStyle w:val="10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46"/>
      <w:isLgl w:val="false"/>
      <w:suff w:val="tab"/>
      <w:lvlText w:val="附录%1."/>
      <w:lvlJc w:val="left"/>
      <w:pPr>
        <w:pStyle w:val="9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3"/>
      <w:isLgl w:val="false"/>
      <w:suff w:val="tab"/>
      <w:lvlText w:val="%1."/>
      <w:lvlJc w:val="left"/>
      <w:pPr>
        <w:pStyle w:val="967"/>
        <w:ind w:left="709" w:hanging="709"/>
        <w:tabs>
          <w:tab w:val="num" w:pos="709" w:leader="none"/>
        </w:tabs>
      </w:pPr>
      <w:rPr>
        <w:rFonts w:hint="eastAsia"/>
      </w:rPr>
    </w:lvl>
    <w:lvl w:ilvl="1">
      <w:start w:val="1"/>
      <w:numFmt w:val="decimal"/>
      <w:isLgl w:val="false"/>
      <w:suff w:val="tab"/>
      <w:lvlText w:val="%1.%2"/>
      <w:lvlJc w:val="left"/>
      <w:pPr>
        <w:pStyle w:val="967"/>
        <w:ind w:left="709" w:hanging="709"/>
        <w:tabs>
          <w:tab w:val="num" w:pos="709" w:leader="none"/>
        </w:tabs>
      </w:pPr>
      <w:rPr>
        <w:rFonts w:hint="eastAsia"/>
      </w:rPr>
    </w:lvl>
    <w:lvl w:ilvl="2">
      <w:start w:val="1"/>
      <w:numFmt w:val="decimal"/>
      <w:isLgl w:val="false"/>
      <w:suff w:val="tab"/>
      <w:lvlText w:val="%1.%2.%3."/>
      <w:lvlJc w:val="left"/>
      <w:pPr>
        <w:pStyle w:val="967"/>
        <w:ind w:left="425" w:hanging="425"/>
        <w:tabs>
          <w:tab w:val="num" w:pos="425" w:leader="none"/>
        </w:tabs>
      </w:pPr>
      <w:rPr>
        <w:rFonts w:hint="eastAsia"/>
      </w:rPr>
    </w:lvl>
    <w:lvl w:ilvl="3">
      <w:start w:val="1"/>
      <w:numFmt w:val="decimal"/>
      <w:isLgl w:val="false"/>
      <w:suff w:val="tab"/>
      <w:lvlText w:val="%1.%2.%3.%4."/>
      <w:lvlJc w:val="left"/>
      <w:pPr>
        <w:pStyle w:val="967"/>
        <w:ind w:left="851" w:hanging="851"/>
        <w:tabs>
          <w:tab w:val="num" w:pos="851" w:leader="none"/>
        </w:tabs>
      </w:pPr>
      <w:rPr>
        <w:rFonts w:hint="eastAsia"/>
      </w:rPr>
    </w:lvl>
    <w:lvl w:ilvl="4">
      <w:start w:val="1"/>
      <w:numFmt w:val="decimal"/>
      <w:isLgl w:val="false"/>
      <w:suff w:val="tab"/>
      <w:lvlText w:val="%1.%2.%3.%4.%5."/>
      <w:lvlJc w:val="left"/>
      <w:pPr>
        <w:pStyle w:val="967"/>
        <w:ind w:left="992" w:hanging="992"/>
        <w:tabs>
          <w:tab w:val="num" w:pos="992" w:leader="none"/>
        </w:tabs>
      </w:pPr>
      <w:rPr>
        <w:rFonts w:hint="eastAsia"/>
      </w:rPr>
    </w:lvl>
    <w:lvl w:ilvl="5">
      <w:start w:val="1"/>
      <w:numFmt w:val="decimal"/>
      <w:isLgl w:val="false"/>
      <w:suff w:val="tab"/>
      <w:lvlText w:val="%1.%2.%3.%4.%5.%6."/>
      <w:lvlJc w:val="left"/>
      <w:pPr>
        <w:pStyle w:val="967"/>
        <w:ind w:left="1134" w:hanging="1134"/>
        <w:tabs>
          <w:tab w:val="num" w:pos="1134" w:leader="none"/>
        </w:tabs>
      </w:pPr>
      <w:rPr>
        <w:rFonts w:hint="eastAsia"/>
      </w:rPr>
    </w:lvl>
    <w:lvl w:ilvl="6">
      <w:start w:val="1"/>
      <w:numFmt w:val="decimal"/>
      <w:isLgl w:val="false"/>
      <w:suff w:val="tab"/>
      <w:lvlText w:val="%1.%2.%3.%4.%5.%6.%7."/>
      <w:lvlJc w:val="left"/>
      <w:pPr>
        <w:pStyle w:val="967"/>
        <w:ind w:left="1276" w:hanging="1276"/>
        <w:tabs>
          <w:tab w:val="num" w:pos="1276" w:leader="none"/>
        </w:tabs>
      </w:pPr>
      <w:rPr>
        <w:rFonts w:hint="eastAsia"/>
      </w:rPr>
    </w:lvl>
    <w:lvl w:ilvl="7">
      <w:start w:val="1"/>
      <w:numFmt w:val="decimal"/>
      <w:isLgl w:val="false"/>
      <w:suff w:val="tab"/>
      <w:lvlText w:val="%1.%2.%3.%4.%5.%6.%7.%8."/>
      <w:lvlJc w:val="left"/>
      <w:pPr>
        <w:pStyle w:val="967"/>
        <w:ind w:left="1418" w:hanging="1418"/>
        <w:tabs>
          <w:tab w:val="num" w:pos="1418" w:leader="none"/>
        </w:tabs>
      </w:pPr>
      <w:rPr>
        <w:rFonts w:hint="eastAsia"/>
      </w:rPr>
    </w:lvl>
    <w:lvl w:ilvl="8">
      <w:start w:val="1"/>
      <w:numFmt w:val="decimal"/>
      <w:isLgl w:val="false"/>
      <w:suff w:val="tab"/>
      <w:lvlText w:val="%1.%2.%3.%4.%5.%6.%7.%8.%9."/>
      <w:lvlJc w:val="left"/>
      <w:pPr>
        <w:pStyle w:val="96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67"/>
        <w:ind w:left="0" w:firstLine="0"/>
      </w:pPr>
      <w:rPr>
        <w:rFonts w:hint="eastAsia"/>
      </w:rPr>
    </w:lvl>
    <w:lvl w:ilvl="1">
      <w:start w:val="1"/>
      <w:numFmt w:val="decimal"/>
      <w:isLgl w:val="false"/>
      <w:suff w:val="nothing"/>
      <w:lvlText w:val="%2、"/>
      <w:lvlJc w:val="left"/>
      <w:pPr>
        <w:pStyle w:val="967"/>
        <w:ind w:left="0" w:firstLine="0"/>
      </w:pPr>
      <w:rPr>
        <w:rFonts w:hint="eastAsia"/>
      </w:rPr>
    </w:lvl>
    <w:lvl w:ilvl="2">
      <w:start w:val="1"/>
      <w:numFmt w:val="decimal"/>
      <w:isLgl w:val="false"/>
      <w:suff w:val="nothing"/>
      <w:lvlText w:val="%2.%3 "/>
      <w:lvlJc w:val="left"/>
      <w:pPr>
        <w:pStyle w:val="967"/>
        <w:ind w:left="0" w:firstLine="0"/>
      </w:pPr>
      <w:rPr>
        <w:rFonts w:hint="eastAsia"/>
      </w:rPr>
    </w:lvl>
    <w:lvl w:ilvl="3">
      <w:start w:val="1"/>
      <w:numFmt w:val="decimal"/>
      <w:isLgl w:val="false"/>
      <w:suff w:val="nothing"/>
      <w:lvlText w:val="%2.%3.%4 "/>
      <w:lvlJc w:val="left"/>
      <w:pPr>
        <w:pStyle w:val="967"/>
        <w:ind w:left="0" w:firstLine="0"/>
      </w:pPr>
      <w:rPr>
        <w:rFonts w:hint="eastAsia"/>
      </w:rPr>
    </w:lvl>
    <w:lvl w:ilvl="4">
      <w:start w:val="1"/>
      <w:numFmt w:val="decimal"/>
      <w:isLgl w:val="false"/>
      <w:suff w:val="nothing"/>
      <w:lvlText w:val="%2.%3.%4.%5 "/>
      <w:lvlJc w:val="left"/>
      <w:pPr>
        <w:pStyle w:val="967"/>
        <w:ind w:left="0" w:firstLine="0"/>
      </w:pPr>
      <w:rPr>
        <w:rFonts w:hint="eastAsia"/>
      </w:rPr>
    </w:lvl>
    <w:lvl w:ilvl="5">
      <w:start w:val="1"/>
      <w:numFmt w:val="decimal"/>
      <w:pStyle w:val="973"/>
      <w:isLgl w:val="false"/>
      <w:suff w:val="nothing"/>
      <w:lvlText w:val=""/>
      <w:lvlJc w:val="left"/>
      <w:pPr>
        <w:pStyle w:val="967"/>
        <w:ind w:left="0" w:firstLine="0"/>
      </w:pPr>
      <w:rPr>
        <w:rFonts w:hint="eastAsia"/>
      </w:rPr>
    </w:lvl>
    <w:lvl w:ilvl="6">
      <w:start w:val="1"/>
      <w:numFmt w:val="decimal"/>
      <w:pStyle w:val="974"/>
      <w:isLgl w:val="false"/>
      <w:suff w:val="nothing"/>
      <w:lvlText w:val=""/>
      <w:lvlJc w:val="left"/>
      <w:pPr>
        <w:pStyle w:val="967"/>
        <w:ind w:left="0" w:firstLine="0"/>
      </w:pPr>
      <w:rPr>
        <w:rFonts w:hint="eastAsia"/>
      </w:rPr>
    </w:lvl>
    <w:lvl w:ilvl="7">
      <w:start w:val="1"/>
      <w:numFmt w:val="decimal"/>
      <w:pStyle w:val="975"/>
      <w:isLgl w:val="false"/>
      <w:suff w:val="nothing"/>
      <w:lvlText w:val=""/>
      <w:lvlJc w:val="left"/>
      <w:pPr>
        <w:pStyle w:val="967"/>
        <w:ind w:left="0" w:firstLine="0"/>
      </w:pPr>
      <w:rPr>
        <w:rFonts w:hint="eastAsia"/>
      </w:rPr>
    </w:lvl>
    <w:lvl w:ilvl="8">
      <w:start w:val="1"/>
      <w:numFmt w:val="decimal"/>
      <w:pStyle w:val="976"/>
      <w:isLgl w:val="false"/>
      <w:suff w:val="nothing"/>
      <w:lvlText w:val=""/>
      <w:lvlJc w:val="left"/>
      <w:pPr>
        <w:pStyle w:val="967"/>
        <w:ind w:left="0" w:firstLine="0"/>
      </w:pPr>
      <w:rPr>
        <w:rFonts w:hint="eastAsia"/>
      </w:rPr>
    </w:lvl>
  </w:abstractNum>
  <w:abstractNum w:abstractNumId="9">
    <w:multiLevelType w:val="hybridMultilevel"/>
    <w:lvl w:ilvl="0">
      <w:start w:val="1"/>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2"/>
      <w:lang w:val="en-US" w:eastAsia="zh-CN" w:bidi="ar-SA"/>
    </w:rPr>
  </w:style>
  <w:style w:type="paragraph" w:styleId="968">
    <w:name w:val="标题 1"/>
    <w:basedOn w:val="967"/>
    <w:next w:val="967"/>
    <w:link w:val="979"/>
    <w:qFormat/>
    <w:pPr>
      <w:jc w:val="center"/>
      <w:keepNext/>
      <w:outlineLvl w:val="0"/>
    </w:pPr>
    <w:rPr>
      <w:rFonts w:ascii="楷体_GB2312" w:hAnsi="Times New Roman" w:eastAsia="楷体_GB2312" w:cs="Times New Roman"/>
      <w:sz w:val="28"/>
      <w:szCs w:val="28"/>
    </w:rPr>
  </w:style>
  <w:style w:type="paragraph" w:styleId="969">
    <w:name w:val="标题 2"/>
    <w:basedOn w:val="967"/>
    <w:next w:val="981"/>
    <w:link w:val="980"/>
    <w:qFormat/>
    <w:pPr>
      <w:jc w:val="center"/>
      <w:keepLines/>
      <w:keepNext/>
      <w:spacing w:before="260" w:after="260" w:line="416" w:lineRule="auto"/>
      <w:outlineLvl w:val="1"/>
    </w:pPr>
    <w:rPr>
      <w:rFonts w:ascii="Arial" w:hAnsi="Arial" w:eastAsia="幼圆" w:cs="Arial"/>
      <w:b/>
      <w:bCs/>
      <w:sz w:val="44"/>
      <w:szCs w:val="44"/>
    </w:rPr>
  </w:style>
  <w:style w:type="paragraph" w:styleId="970">
    <w:name w:val="标题 3"/>
    <w:basedOn w:val="967"/>
    <w:next w:val="981"/>
    <w:link w:val="9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1">
    <w:name w:val="标题 4"/>
    <w:basedOn w:val="967"/>
    <w:next w:val="981"/>
    <w:link w:val="984"/>
    <w:qFormat/>
    <w:pPr>
      <w:keepLines/>
      <w:keepNext/>
      <w:spacing w:before="280" w:after="290" w:line="376" w:lineRule="auto"/>
      <w:outlineLvl w:val="3"/>
    </w:pPr>
    <w:rPr>
      <w:rFonts w:ascii="Arial" w:hAnsi="Arial" w:eastAsia="黑体" w:cs="Arial"/>
      <w:b/>
      <w:bCs/>
      <w:sz w:val="28"/>
      <w:szCs w:val="28"/>
    </w:rPr>
  </w:style>
  <w:style w:type="paragraph" w:styleId="972">
    <w:name w:val="标题 5"/>
    <w:basedOn w:val="967"/>
    <w:next w:val="981"/>
    <w:link w:val="985"/>
    <w:qFormat/>
    <w:pPr>
      <w:keepNext/>
      <w:outlineLvl w:val="4"/>
    </w:pPr>
    <w:rPr>
      <w:rFonts w:ascii="宋体" w:hAnsi="Times New Roman" w:eastAsia="宋体" w:cs="Times New Roman"/>
      <w:color w:val="000000"/>
      <w:sz w:val="28"/>
      <w:szCs w:val="28"/>
    </w:rPr>
  </w:style>
  <w:style w:type="paragraph" w:styleId="973">
    <w:name w:val="标题 6"/>
    <w:basedOn w:val="967"/>
    <w:next w:val="967"/>
    <w:link w:val="9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4">
    <w:name w:val="标题 7"/>
    <w:basedOn w:val="967"/>
    <w:next w:val="967"/>
    <w:link w:val="9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5">
    <w:name w:val="标题 8"/>
    <w:basedOn w:val="967"/>
    <w:next w:val="967"/>
    <w:link w:val="9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6">
    <w:name w:val="标题 9"/>
    <w:basedOn w:val="967"/>
    <w:next w:val="967"/>
    <w:link w:val="989"/>
    <w:qFormat/>
    <w:pPr>
      <w:numPr>
        <w:ilvl w:val="8"/>
        <w:numId w:val="1"/>
      </w:numPr>
      <w:keepLines/>
      <w:keepNext/>
      <w:spacing w:before="240" w:after="64" w:line="320" w:lineRule="auto"/>
      <w:outlineLvl w:val="8"/>
    </w:pPr>
    <w:rPr>
      <w:rFonts w:ascii="Arial" w:hAnsi="Arial" w:eastAsia="黑体" w:cs="Times New Roman"/>
      <w:szCs w:val="21"/>
    </w:rPr>
  </w:style>
  <w:style w:type="character" w:styleId="977">
    <w:name w:val="默认段落字体"/>
    <w:next w:val="977"/>
    <w:link w:val="967"/>
    <w:uiPriority w:val="1"/>
    <w:unhideWhenUsed/>
  </w:style>
  <w:style w:type="table" w:styleId="978">
    <w:name w:val="普通表格"/>
    <w:next w:val="978"/>
    <w:link w:val="967"/>
    <w:uiPriority w:val="99"/>
    <w:unhideWhenUsed/>
    <w:tblPr/>
  </w:style>
  <w:style w:type="character" w:styleId="979">
    <w:name w:val="标题 1 Char"/>
    <w:next w:val="979"/>
    <w:link w:val="968"/>
    <w:rPr>
      <w:rFonts w:ascii="楷体_GB2312" w:hAnsi="Times New Roman" w:eastAsia="楷体_GB2312" w:cs="Times New Roman"/>
      <w:sz w:val="28"/>
      <w:szCs w:val="28"/>
    </w:rPr>
  </w:style>
  <w:style w:type="character" w:styleId="980">
    <w:name w:val="标题 2 Char"/>
    <w:next w:val="980"/>
    <w:link w:val="969"/>
    <w:rPr>
      <w:rFonts w:ascii="Arial" w:hAnsi="Arial" w:eastAsia="幼圆" w:cs="Arial"/>
      <w:b/>
      <w:bCs/>
      <w:sz w:val="44"/>
      <w:szCs w:val="44"/>
    </w:rPr>
  </w:style>
  <w:style w:type="paragraph" w:styleId="981">
    <w:name w:val="正文缩进"/>
    <w:basedOn w:val="967"/>
    <w:next w:val="981"/>
    <w:link w:val="982"/>
    <w:pPr>
      <w:ind w:firstLine="420"/>
    </w:pPr>
    <w:rPr>
      <w:szCs w:val="21"/>
    </w:rPr>
  </w:style>
  <w:style w:type="character" w:styleId="982">
    <w:name w:val="正文缩进 Char"/>
    <w:next w:val="982"/>
    <w:link w:val="981"/>
    <w:rPr>
      <w:szCs w:val="21"/>
    </w:rPr>
  </w:style>
  <w:style w:type="character" w:styleId="983">
    <w:name w:val="标题 3 Char"/>
    <w:next w:val="983"/>
    <w:link w:val="970"/>
    <w:rPr>
      <w:rFonts w:ascii="Times New Roman" w:hAnsi="Times New Roman" w:eastAsia="宋体" w:cs="Times New Roman"/>
      <w:b/>
      <w:bCs/>
      <w:sz w:val="32"/>
      <w:szCs w:val="32"/>
    </w:rPr>
  </w:style>
  <w:style w:type="character" w:styleId="984">
    <w:name w:val="标题 4 Char"/>
    <w:next w:val="984"/>
    <w:link w:val="971"/>
    <w:rPr>
      <w:rFonts w:ascii="Arial" w:hAnsi="Arial" w:eastAsia="黑体" w:cs="Arial"/>
      <w:b/>
      <w:bCs/>
      <w:sz w:val="28"/>
      <w:szCs w:val="28"/>
    </w:rPr>
  </w:style>
  <w:style w:type="character" w:styleId="985">
    <w:name w:val="标题 5 Char"/>
    <w:next w:val="985"/>
    <w:link w:val="972"/>
    <w:rPr>
      <w:rFonts w:ascii="宋体" w:hAnsi="Times New Roman" w:eastAsia="宋体" w:cs="Times New Roman"/>
      <w:color w:val="000000"/>
      <w:sz w:val="28"/>
      <w:szCs w:val="28"/>
    </w:rPr>
  </w:style>
  <w:style w:type="character" w:styleId="986">
    <w:name w:val="标题 6 Char"/>
    <w:next w:val="986"/>
    <w:link w:val="973"/>
    <w:rPr>
      <w:rFonts w:ascii="Arial" w:hAnsi="Arial" w:eastAsia="黑体" w:cs="Times New Roman"/>
      <w:b/>
      <w:bCs/>
      <w:sz w:val="24"/>
      <w:szCs w:val="24"/>
    </w:rPr>
  </w:style>
  <w:style w:type="character" w:styleId="987">
    <w:name w:val="标题 7 Char"/>
    <w:next w:val="987"/>
    <w:link w:val="974"/>
    <w:rPr>
      <w:rFonts w:ascii="Times New Roman" w:hAnsi="Times New Roman" w:eastAsia="宋体" w:cs="Times New Roman"/>
      <w:b/>
      <w:bCs/>
      <w:sz w:val="24"/>
      <w:szCs w:val="24"/>
    </w:rPr>
  </w:style>
  <w:style w:type="character" w:styleId="988">
    <w:name w:val="标题 8 Char"/>
    <w:next w:val="988"/>
    <w:link w:val="975"/>
    <w:rPr>
      <w:rFonts w:ascii="Arial" w:hAnsi="Arial" w:eastAsia="黑体" w:cs="Times New Roman"/>
      <w:sz w:val="24"/>
      <w:szCs w:val="24"/>
    </w:rPr>
  </w:style>
  <w:style w:type="character" w:styleId="989">
    <w:name w:val="标题 9 Char"/>
    <w:next w:val="989"/>
    <w:link w:val="976"/>
    <w:rPr>
      <w:rFonts w:ascii="Arial" w:hAnsi="Arial" w:eastAsia="黑体" w:cs="Times New Roman"/>
      <w:szCs w:val="21"/>
    </w:rPr>
  </w:style>
  <w:style w:type="paragraph" w:styleId="990">
    <w:name w:val="列表 3"/>
    <w:basedOn w:val="967"/>
    <w:next w:val="990"/>
    <w:link w:val="967"/>
    <w:pPr>
      <w:ind w:left="100" w:hanging="200"/>
    </w:pPr>
    <w:rPr>
      <w:rFonts w:ascii="Times New Roman" w:hAnsi="Times New Roman" w:eastAsia="宋体" w:cs="Times New Roman"/>
      <w:szCs w:val="21"/>
    </w:rPr>
  </w:style>
  <w:style w:type="paragraph" w:styleId="991">
    <w:name w:val="目录 7"/>
    <w:basedOn w:val="967"/>
    <w:next w:val="967"/>
    <w:link w:val="967"/>
    <w:semiHidden/>
    <w:pPr>
      <w:ind w:left="1260"/>
      <w:jc w:val="left"/>
    </w:pPr>
    <w:rPr>
      <w:rFonts w:ascii="Times New Roman" w:hAnsi="Times New Roman" w:eastAsia="宋体" w:cs="Times New Roman"/>
      <w:szCs w:val="21"/>
    </w:rPr>
  </w:style>
  <w:style w:type="paragraph" w:styleId="992">
    <w:name w:val="文档结构图"/>
    <w:basedOn w:val="967"/>
    <w:next w:val="992"/>
    <w:link w:val="993"/>
    <w:semiHidden/>
    <w:pPr>
      <w:shd w:val="clear" w:color="auto" w:fill="000080"/>
    </w:pPr>
    <w:rPr>
      <w:rFonts w:ascii="Times New Roman" w:hAnsi="Times New Roman" w:eastAsia="宋体" w:cs="Times New Roman"/>
      <w:szCs w:val="21"/>
    </w:rPr>
  </w:style>
  <w:style w:type="character" w:styleId="993">
    <w:name w:val="文档结构图 Char"/>
    <w:next w:val="993"/>
    <w:link w:val="992"/>
    <w:semiHidden/>
    <w:rPr>
      <w:rFonts w:ascii="Times New Roman" w:hAnsi="Times New Roman" w:eastAsia="宋体" w:cs="Times New Roman"/>
      <w:szCs w:val="21"/>
      <w:shd w:val="clear" w:color="auto" w:fill="000080"/>
    </w:rPr>
  </w:style>
  <w:style w:type="paragraph" w:styleId="994">
    <w:name w:val="批注文字"/>
    <w:basedOn w:val="967"/>
    <w:next w:val="994"/>
    <w:link w:val="995"/>
    <w:unhideWhenUsed/>
    <w:pPr>
      <w:jc w:val="left"/>
    </w:pPr>
  </w:style>
  <w:style w:type="character" w:styleId="995">
    <w:name w:val="批注文字 Char"/>
    <w:next w:val="995"/>
    <w:link w:val="994"/>
    <w:uiPriority w:val="99"/>
    <w:semiHidden/>
  </w:style>
  <w:style w:type="paragraph" w:styleId="996">
    <w:name w:val="正文文本 3"/>
    <w:basedOn w:val="967"/>
    <w:next w:val="996"/>
    <w:link w:val="997"/>
    <w:rPr>
      <w:rFonts w:ascii="仿宋_GB2312" w:hAnsi="Arial" w:eastAsia="仿宋_GB2312" w:cs="Times New Roman"/>
      <w:sz w:val="32"/>
      <w:szCs w:val="32"/>
    </w:rPr>
  </w:style>
  <w:style w:type="character" w:styleId="997">
    <w:name w:val="正文文本 3 Char"/>
    <w:next w:val="997"/>
    <w:link w:val="996"/>
    <w:rPr>
      <w:rFonts w:ascii="仿宋_GB2312" w:hAnsi="Arial" w:eastAsia="仿宋_GB2312" w:cs="Times New Roman"/>
      <w:sz w:val="32"/>
      <w:szCs w:val="32"/>
    </w:rPr>
  </w:style>
  <w:style w:type="paragraph" w:styleId="998">
    <w:name w:val="正文文本"/>
    <w:basedOn w:val="967"/>
    <w:next w:val="998"/>
    <w:link w:val="999"/>
    <w:rPr>
      <w:rFonts w:ascii="楷体_GB2312" w:hAnsi="Arial" w:eastAsia="楷体_GB2312" w:cs="Times New Roman"/>
      <w:sz w:val="28"/>
      <w:szCs w:val="28"/>
    </w:rPr>
  </w:style>
  <w:style w:type="character" w:styleId="999">
    <w:name w:val="正文文本 Char"/>
    <w:next w:val="999"/>
    <w:link w:val="998"/>
    <w:rPr>
      <w:rFonts w:ascii="楷体_GB2312" w:hAnsi="Arial" w:eastAsia="楷体_GB2312" w:cs="Times New Roman"/>
      <w:sz w:val="28"/>
      <w:szCs w:val="28"/>
    </w:rPr>
  </w:style>
  <w:style w:type="paragraph" w:styleId="1000">
    <w:name w:val="正文文本缩进"/>
    <w:basedOn w:val="967"/>
    <w:next w:val="1000"/>
    <w:link w:val="1001"/>
    <w:unhideWhenUsed/>
    <w:pPr>
      <w:ind w:left="420"/>
      <w:spacing w:after="120"/>
    </w:pPr>
  </w:style>
  <w:style w:type="character" w:styleId="1001">
    <w:name w:val="正文文本缩进 Char"/>
    <w:next w:val="1001"/>
    <w:link w:val="1000"/>
    <w:uiPriority w:val="99"/>
    <w:semiHidden/>
  </w:style>
  <w:style w:type="paragraph" w:styleId="1002">
    <w:name w:val="列表 2"/>
    <w:basedOn w:val="967"/>
    <w:next w:val="1002"/>
    <w:link w:val="967"/>
    <w:pPr>
      <w:ind w:left="100" w:hanging="200"/>
    </w:pPr>
    <w:rPr>
      <w:rFonts w:ascii="Times New Roman" w:hAnsi="Times New Roman" w:eastAsia="宋体" w:cs="Times New Roman"/>
      <w:szCs w:val="21"/>
    </w:rPr>
  </w:style>
  <w:style w:type="paragraph" w:styleId="1003">
    <w:name w:val="目录 5"/>
    <w:basedOn w:val="967"/>
    <w:next w:val="967"/>
    <w:link w:val="967"/>
    <w:semiHidden/>
    <w:pPr>
      <w:ind w:left="840"/>
      <w:jc w:val="left"/>
    </w:pPr>
    <w:rPr>
      <w:rFonts w:ascii="Times New Roman" w:hAnsi="Times New Roman" w:eastAsia="宋体" w:cs="Times New Roman"/>
      <w:szCs w:val="21"/>
    </w:rPr>
  </w:style>
  <w:style w:type="paragraph" w:styleId="1004">
    <w:name w:val="目录 3"/>
    <w:basedOn w:val="967"/>
    <w:next w:val="967"/>
    <w:link w:val="967"/>
    <w:semiHidden/>
    <w:pPr>
      <w:ind w:left="420"/>
      <w:jc w:val="left"/>
    </w:pPr>
    <w:rPr>
      <w:rFonts w:ascii="Times New Roman" w:hAnsi="Times New Roman" w:eastAsia="宋体" w:cs="Times New Roman"/>
      <w:i/>
      <w:iCs/>
      <w:szCs w:val="24"/>
    </w:rPr>
  </w:style>
  <w:style w:type="paragraph" w:styleId="1005">
    <w:name w:val="纯文本"/>
    <w:basedOn w:val="967"/>
    <w:next w:val="1005"/>
    <w:link w:val="1006"/>
    <w:qFormat/>
    <w:rPr>
      <w:rFonts w:ascii="宋体" w:hAnsi="Courier New" w:eastAsia="宋体" w:cs="Courier New"/>
      <w:szCs w:val="21"/>
    </w:rPr>
  </w:style>
  <w:style w:type="character" w:styleId="1006">
    <w:name w:val="纯文本 Char"/>
    <w:next w:val="1006"/>
    <w:link w:val="1005"/>
    <w:rPr>
      <w:rFonts w:ascii="宋体" w:hAnsi="Courier New" w:eastAsia="宋体" w:cs="Courier New"/>
      <w:szCs w:val="21"/>
    </w:rPr>
  </w:style>
  <w:style w:type="paragraph" w:styleId="1007">
    <w:name w:val="目录 8"/>
    <w:basedOn w:val="967"/>
    <w:next w:val="967"/>
    <w:link w:val="967"/>
    <w:semiHidden/>
    <w:pPr>
      <w:ind w:left="1470"/>
      <w:jc w:val="left"/>
    </w:pPr>
    <w:rPr>
      <w:rFonts w:ascii="Times New Roman" w:hAnsi="Times New Roman" w:eastAsia="宋体" w:cs="Times New Roman"/>
      <w:szCs w:val="21"/>
    </w:rPr>
  </w:style>
  <w:style w:type="paragraph" w:styleId="1008">
    <w:name w:val="日期"/>
    <w:basedOn w:val="967"/>
    <w:next w:val="967"/>
    <w:link w:val="1009"/>
    <w:rPr>
      <w:rFonts w:ascii="Times New Roman" w:hAnsi="Times New Roman" w:eastAsia="宋体" w:cs="Times New Roman"/>
      <w:sz w:val="24"/>
      <w:szCs w:val="24"/>
    </w:rPr>
  </w:style>
  <w:style w:type="character" w:styleId="1009">
    <w:name w:val="日期 Char"/>
    <w:next w:val="1009"/>
    <w:link w:val="1008"/>
    <w:rPr>
      <w:rFonts w:ascii="Times New Roman" w:hAnsi="Times New Roman" w:eastAsia="宋体" w:cs="Times New Roman"/>
      <w:sz w:val="24"/>
      <w:szCs w:val="24"/>
    </w:rPr>
  </w:style>
  <w:style w:type="paragraph" w:styleId="1010">
    <w:name w:val="正文文本缩进 2"/>
    <w:basedOn w:val="967"/>
    <w:next w:val="1010"/>
    <w:link w:val="1011"/>
    <w:pPr>
      <w:ind w:left="630" w:firstLine="645"/>
    </w:pPr>
    <w:rPr>
      <w:rFonts w:ascii="Arial" w:hAnsi="Arial" w:eastAsia="仿宋_GB2312" w:cs="Arial"/>
      <w:sz w:val="32"/>
      <w:szCs w:val="32"/>
    </w:rPr>
  </w:style>
  <w:style w:type="character" w:styleId="1011">
    <w:name w:val="正文文本缩进 2 Char"/>
    <w:next w:val="1011"/>
    <w:link w:val="1010"/>
    <w:rPr>
      <w:rFonts w:ascii="Arial" w:hAnsi="Arial" w:eastAsia="仿宋_GB2312" w:cs="Arial"/>
      <w:sz w:val="32"/>
      <w:szCs w:val="32"/>
    </w:rPr>
  </w:style>
  <w:style w:type="paragraph" w:styleId="1012">
    <w:name w:val="批注框文本"/>
    <w:basedOn w:val="967"/>
    <w:next w:val="1012"/>
    <w:link w:val="1013"/>
    <w:semiHidden/>
    <w:rPr>
      <w:rFonts w:ascii="Times New Roman" w:hAnsi="Times New Roman" w:eastAsia="宋体" w:cs="Times New Roman"/>
      <w:sz w:val="18"/>
      <w:szCs w:val="18"/>
    </w:rPr>
  </w:style>
  <w:style w:type="character" w:styleId="1013">
    <w:name w:val="批注框文本 Char"/>
    <w:next w:val="1013"/>
    <w:link w:val="1012"/>
    <w:semiHidden/>
    <w:rPr>
      <w:rFonts w:ascii="Times New Roman" w:hAnsi="Times New Roman" w:eastAsia="宋体" w:cs="Times New Roman"/>
      <w:sz w:val="18"/>
      <w:szCs w:val="18"/>
    </w:rPr>
  </w:style>
  <w:style w:type="paragraph" w:styleId="1014">
    <w:name w:val="页脚"/>
    <w:basedOn w:val="967"/>
    <w:next w:val="1014"/>
    <w:link w:val="101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15">
    <w:name w:val="页脚 Char"/>
    <w:next w:val="1015"/>
    <w:link w:val="1014"/>
    <w:uiPriority w:val="99"/>
    <w:rPr>
      <w:rFonts w:ascii="Times New Roman" w:hAnsi="Times New Roman" w:eastAsia="宋体" w:cs="Times New Roman"/>
      <w:sz w:val="18"/>
      <w:szCs w:val="18"/>
    </w:rPr>
  </w:style>
  <w:style w:type="paragraph" w:styleId="1016">
    <w:name w:val="页眉"/>
    <w:basedOn w:val="967"/>
    <w:next w:val="1016"/>
    <w:link w:val="10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7">
    <w:name w:val="页眉 Char"/>
    <w:next w:val="1017"/>
    <w:link w:val="1016"/>
    <w:rPr>
      <w:rFonts w:ascii="Times New Roman" w:hAnsi="Times New Roman" w:eastAsia="宋体" w:cs="Times New Roman"/>
      <w:sz w:val="18"/>
      <w:szCs w:val="18"/>
    </w:rPr>
  </w:style>
  <w:style w:type="paragraph" w:styleId="1018">
    <w:name w:val="目录 1"/>
    <w:basedOn w:val="967"/>
    <w:next w:val="967"/>
    <w:link w:val="9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9">
    <w:name w:val="目录 4"/>
    <w:basedOn w:val="967"/>
    <w:next w:val="967"/>
    <w:link w:val="967"/>
    <w:semiHidden/>
    <w:pPr>
      <w:ind w:left="630"/>
      <w:jc w:val="left"/>
    </w:pPr>
    <w:rPr>
      <w:rFonts w:ascii="Times New Roman" w:hAnsi="Times New Roman" w:eastAsia="宋体" w:cs="Times New Roman"/>
      <w:szCs w:val="21"/>
    </w:rPr>
  </w:style>
  <w:style w:type="paragraph" w:styleId="1020">
    <w:name w:val="列表"/>
    <w:basedOn w:val="967"/>
    <w:next w:val="1020"/>
    <w:link w:val="967"/>
    <w:pPr>
      <w:ind w:left="200" w:hanging="200"/>
    </w:pPr>
    <w:rPr>
      <w:rFonts w:ascii="Times New Roman" w:hAnsi="Times New Roman" w:eastAsia="宋体" w:cs="Times New Roman"/>
      <w:szCs w:val="21"/>
    </w:rPr>
  </w:style>
  <w:style w:type="paragraph" w:styleId="1021">
    <w:name w:val="目录 6"/>
    <w:basedOn w:val="967"/>
    <w:next w:val="967"/>
    <w:link w:val="967"/>
    <w:semiHidden/>
    <w:pPr>
      <w:ind w:left="1050"/>
      <w:jc w:val="left"/>
    </w:pPr>
    <w:rPr>
      <w:rFonts w:ascii="Times New Roman" w:hAnsi="Times New Roman" w:eastAsia="宋体" w:cs="Times New Roman"/>
      <w:szCs w:val="21"/>
    </w:rPr>
  </w:style>
  <w:style w:type="paragraph" w:styleId="1022">
    <w:name w:val="正文文本缩进 3"/>
    <w:basedOn w:val="967"/>
    <w:next w:val="1022"/>
    <w:link w:val="1023"/>
    <w:pPr>
      <w:ind w:left="645" w:firstLine="645"/>
    </w:pPr>
    <w:rPr>
      <w:rFonts w:ascii="Arial" w:hAnsi="Arial" w:eastAsia="仿宋_GB2312" w:cs="Arial"/>
      <w:color w:val="ffff00"/>
      <w:sz w:val="32"/>
      <w:szCs w:val="32"/>
    </w:rPr>
  </w:style>
  <w:style w:type="character" w:styleId="1023">
    <w:name w:val="正文文本缩进 3 Char"/>
    <w:next w:val="1023"/>
    <w:link w:val="1022"/>
    <w:rPr>
      <w:rFonts w:ascii="Arial" w:hAnsi="Arial" w:eastAsia="仿宋_GB2312" w:cs="Arial"/>
      <w:color w:val="ffff00"/>
      <w:sz w:val="32"/>
      <w:szCs w:val="32"/>
    </w:rPr>
  </w:style>
  <w:style w:type="paragraph" w:styleId="1024">
    <w:name w:val="图表目录"/>
    <w:basedOn w:val="967"/>
    <w:next w:val="967"/>
    <w:link w:val="967"/>
    <w:semiHidden/>
    <w:pPr>
      <w:ind w:left="840" w:hanging="420"/>
    </w:pPr>
    <w:rPr>
      <w:rFonts w:ascii="Times New Roman" w:hAnsi="Times New Roman" w:eastAsia="宋体" w:cs="Times New Roman"/>
      <w:szCs w:val="21"/>
    </w:rPr>
  </w:style>
  <w:style w:type="paragraph" w:styleId="1025">
    <w:name w:val="目录 2"/>
    <w:basedOn w:val="967"/>
    <w:next w:val="967"/>
    <w:link w:val="967"/>
    <w:semiHidden/>
    <w:pPr>
      <w:ind w:left="210"/>
      <w:jc w:val="left"/>
    </w:pPr>
    <w:rPr>
      <w:rFonts w:ascii="Times New Roman" w:hAnsi="Times New Roman" w:eastAsia="宋体" w:cs="Times New Roman"/>
      <w:smallCaps/>
      <w:szCs w:val="24"/>
    </w:rPr>
  </w:style>
  <w:style w:type="paragraph" w:styleId="1026">
    <w:name w:val="目录 9"/>
    <w:basedOn w:val="967"/>
    <w:next w:val="967"/>
    <w:link w:val="967"/>
    <w:semiHidden/>
    <w:pPr>
      <w:ind w:left="1680"/>
      <w:jc w:val="left"/>
    </w:pPr>
    <w:rPr>
      <w:rFonts w:ascii="Times New Roman" w:hAnsi="Times New Roman" w:eastAsia="宋体" w:cs="Times New Roman"/>
      <w:szCs w:val="21"/>
    </w:rPr>
  </w:style>
  <w:style w:type="paragraph" w:styleId="1027">
    <w:name w:val="正文文本 2"/>
    <w:basedOn w:val="967"/>
    <w:next w:val="1027"/>
    <w:link w:val="1028"/>
    <w:pPr>
      <w:jc w:val="center"/>
      <w:widowControl/>
    </w:pPr>
    <w:rPr>
      <w:rFonts w:ascii="楷体_GB2312" w:hAnsi="Times New Roman" w:eastAsia="楷体_GB2312" w:cs="Times New Roman"/>
      <w:sz w:val="28"/>
      <w:szCs w:val="28"/>
    </w:rPr>
  </w:style>
  <w:style w:type="character" w:styleId="1028">
    <w:name w:val="正文文本 2 Char"/>
    <w:next w:val="1028"/>
    <w:link w:val="1027"/>
    <w:rPr>
      <w:rFonts w:ascii="楷体_GB2312" w:hAnsi="Times New Roman" w:eastAsia="楷体_GB2312" w:cs="Times New Roman"/>
      <w:sz w:val="28"/>
      <w:szCs w:val="28"/>
    </w:rPr>
  </w:style>
  <w:style w:type="paragraph" w:styleId="1029">
    <w:name w:val="普通(网站)"/>
    <w:basedOn w:val="967"/>
    <w:next w:val="1029"/>
    <w:link w:val="967"/>
    <w:uiPriority w:val="99"/>
    <w:pPr>
      <w:jc w:val="left"/>
      <w:spacing w:before="100" w:beforeAutospacing="1" w:after="100" w:afterAutospacing="1"/>
      <w:widowControl/>
    </w:pPr>
    <w:rPr>
      <w:rFonts w:ascii="宋体" w:hAnsi="宋体" w:eastAsia="宋体" w:cs="宋体"/>
      <w:sz w:val="24"/>
      <w:szCs w:val="24"/>
    </w:rPr>
  </w:style>
  <w:style w:type="paragraph" w:styleId="1030">
    <w:name w:val="索引 1"/>
    <w:basedOn w:val="967"/>
    <w:next w:val="967"/>
    <w:link w:val="967"/>
    <w:semiHidden/>
    <w:pPr>
      <w:spacing w:line="240" w:lineRule="atLeast"/>
    </w:pPr>
    <w:rPr>
      <w:rFonts w:ascii="Times New Roman" w:hAnsi="Times New Roman" w:eastAsia="宋体" w:cs="Times New Roman"/>
      <w:b/>
      <w:bCs/>
      <w:szCs w:val="21"/>
    </w:rPr>
  </w:style>
  <w:style w:type="paragraph" w:styleId="1031">
    <w:name w:val="批注主题"/>
    <w:basedOn w:val="994"/>
    <w:next w:val="994"/>
    <w:link w:val="1032"/>
    <w:semiHidden/>
    <w:rPr>
      <w:rFonts w:ascii="Times New Roman" w:hAnsi="Times New Roman" w:eastAsia="宋体" w:cs="Times New Roman"/>
      <w:b/>
      <w:bCs/>
      <w:szCs w:val="21"/>
    </w:rPr>
  </w:style>
  <w:style w:type="character" w:styleId="1032">
    <w:name w:val="批注主题 Char"/>
    <w:next w:val="1032"/>
    <w:link w:val="1031"/>
    <w:semiHidden/>
    <w:rPr>
      <w:rFonts w:ascii="Times New Roman" w:hAnsi="Times New Roman" w:eastAsia="宋体" w:cs="Times New Roman"/>
      <w:b/>
      <w:bCs/>
      <w:szCs w:val="21"/>
    </w:rPr>
  </w:style>
  <w:style w:type="paragraph" w:styleId="1033">
    <w:name w:val="正文首行缩进"/>
    <w:basedOn w:val="967"/>
    <w:next w:val="1033"/>
    <w:link w:val="1034"/>
    <w:pPr>
      <w:ind w:firstLine="200"/>
      <w:spacing w:line="360" w:lineRule="auto"/>
    </w:pPr>
    <w:rPr>
      <w:rFonts w:ascii="仿宋_GB2312" w:hAnsi="Times New Roman" w:eastAsia="仿宋_GB2312" w:cs="Times New Roman"/>
      <w:sz w:val="30"/>
      <w:szCs w:val="30"/>
    </w:rPr>
  </w:style>
  <w:style w:type="character" w:styleId="1034">
    <w:name w:val="正文首行缩进 Char"/>
    <w:next w:val="1034"/>
    <w:link w:val="1033"/>
    <w:rPr>
      <w:rFonts w:ascii="仿宋_GB2312" w:hAnsi="Times New Roman" w:eastAsia="仿宋_GB2312" w:cs="Times New Roman"/>
      <w:sz w:val="30"/>
      <w:szCs w:val="30"/>
    </w:rPr>
  </w:style>
  <w:style w:type="paragraph" w:styleId="1035">
    <w:name w:val="正文首行缩进 2"/>
    <w:basedOn w:val="1000"/>
    <w:next w:val="1035"/>
    <w:link w:val="1036"/>
    <w:pPr>
      <w:ind w:left="0" w:firstLine="420"/>
      <w:spacing w:after="0" w:line="360" w:lineRule="auto"/>
    </w:pPr>
    <w:rPr>
      <w:rFonts w:ascii="宋体" w:hAnsi="宋体" w:eastAsia="宋体" w:cs="Times New Roman"/>
      <w:szCs w:val="20"/>
    </w:rPr>
  </w:style>
  <w:style w:type="character" w:styleId="1036">
    <w:name w:val="正文首行缩进 2 Char"/>
    <w:next w:val="1036"/>
    <w:link w:val="1035"/>
    <w:rPr>
      <w:rFonts w:ascii="宋体" w:hAnsi="宋体" w:eastAsia="宋体" w:cs="Times New Roman"/>
      <w:szCs w:val="20"/>
    </w:rPr>
  </w:style>
  <w:style w:type="table" w:styleId="1037">
    <w:name w:val="网格型"/>
    <w:basedOn w:val="978"/>
    <w:next w:val="1037"/>
    <w:link w:val="967"/>
    <w:pPr>
      <w:jc w:val="both"/>
      <w:widowControl w:val="off"/>
    </w:pPr>
    <w:rPr>
      <w:rFonts w:ascii="Times New Roman" w:hAnsi="Times New Roman" w:eastAsia="宋体" w:cs="Times New Roman"/>
      <w:sz w:val="20"/>
      <w:szCs w:val="20"/>
    </w:rPr>
    <w:tblPr/>
  </w:style>
  <w:style w:type="character" w:styleId="1038">
    <w:name w:val="要点"/>
    <w:basedOn w:val="977"/>
    <w:next w:val="1038"/>
    <w:link w:val="967"/>
    <w:qFormat/>
    <w:rPr>
      <w:b/>
      <w:bCs/>
    </w:rPr>
  </w:style>
  <w:style w:type="character" w:styleId="1039">
    <w:name w:val="页码"/>
    <w:next w:val="1039"/>
    <w:link w:val="967"/>
  </w:style>
  <w:style w:type="character" w:styleId="1040">
    <w:name w:val="已访问的超链接"/>
    <w:next w:val="1040"/>
    <w:link w:val="967"/>
    <w:rPr>
      <w:color w:val="800080"/>
      <w:u w:val="single"/>
    </w:rPr>
  </w:style>
  <w:style w:type="character" w:styleId="1041">
    <w:name w:val="强调"/>
    <w:basedOn w:val="977"/>
    <w:next w:val="1041"/>
    <w:link w:val="967"/>
    <w:qFormat/>
    <w:rPr>
      <w:i/>
    </w:rPr>
  </w:style>
  <w:style w:type="character" w:styleId="1042">
    <w:name w:val="超链接"/>
    <w:next w:val="1042"/>
    <w:link w:val="967"/>
    <w:rPr>
      <w:color w:val="0000ff"/>
      <w:u w:val="single"/>
    </w:rPr>
  </w:style>
  <w:style w:type="character" w:styleId="1043">
    <w:name w:val="批注引用"/>
    <w:next w:val="1043"/>
    <w:link w:val="967"/>
    <w:semiHidden/>
    <w:rPr>
      <w:sz w:val="21"/>
      <w:szCs w:val="21"/>
    </w:rPr>
  </w:style>
  <w:style w:type="character" w:styleId="1044">
    <w:name w:val="font5 Char"/>
    <w:next w:val="1044"/>
    <w:link w:val="967"/>
    <w:rPr>
      <w:rFonts w:ascii="宋体" w:hAnsi="宋体" w:eastAsia="宋体"/>
      <w:sz w:val="28"/>
      <w:szCs w:val="28"/>
      <w:lang w:val="en-US" w:eastAsia="zh-CN" w:bidi="ar-SA"/>
    </w:rPr>
  </w:style>
  <w:style w:type="character" w:styleId="1045">
    <w:name w:val="二级目录 Char"/>
    <w:next w:val="1045"/>
    <w:link w:val="1046"/>
    <w:rPr>
      <w:b/>
      <w:sz w:val="30"/>
      <w:szCs w:val="28"/>
    </w:rPr>
  </w:style>
  <w:style w:type="paragraph" w:styleId="1046">
    <w:name w:val="二级目录"/>
    <w:next w:val="967"/>
    <w:link w:val="1045"/>
    <w:pPr>
      <w:numPr>
        <w:ilvl w:val="0"/>
        <w:numId w:val="2"/>
      </w:numPr>
      <w:tabs>
        <w:tab w:val="left" w:pos="907" w:leader="none"/>
        <w:tab w:val="left" w:pos="1145" w:leader="none"/>
      </w:tabs>
      <w:outlineLvl w:val="1"/>
    </w:pPr>
    <w:rPr>
      <w:b/>
      <w:sz w:val="30"/>
      <w:szCs w:val="28"/>
      <w:lang w:val="en-US" w:eastAsia="zh-CN" w:bidi="ar-SA"/>
    </w:rPr>
  </w:style>
  <w:style w:type="character" w:styleId="1047">
    <w:name w:val="列出段落 Char,Bullet List Char,numbered Char,FooterText Char,List Paragraph1 Char,Paragraphe de liste1 Char"/>
    <w:next w:val="1047"/>
    <w:link w:val="1048"/>
    <w:rPr>
      <w:rFonts w:ascii="Calibri" w:hAnsi="Calibri"/>
      <w:sz w:val="24"/>
      <w:szCs w:val="24"/>
      <w:lang w:eastAsia="en-US" w:bidi="en-US"/>
    </w:rPr>
  </w:style>
  <w:style w:type="paragraph" w:styleId="1048">
    <w:name w:val="列出段落1"/>
    <w:basedOn w:val="967"/>
    <w:next w:val="1048"/>
    <w:link w:val="1047"/>
    <w:qFormat/>
    <w:pPr>
      <w:contextualSpacing/>
      <w:ind w:left="720"/>
      <w:jc w:val="left"/>
      <w:widowControl/>
    </w:pPr>
    <w:rPr>
      <w:rFonts w:ascii="Calibri" w:hAnsi="Calibri"/>
      <w:sz w:val="24"/>
      <w:szCs w:val="24"/>
      <w:lang w:eastAsia="en-US" w:bidi="en-US"/>
    </w:rPr>
  </w:style>
  <w:style w:type="paragraph" w:styleId="1049">
    <w:name w:val="Body Text(ch)"/>
    <w:basedOn w:val="967"/>
    <w:next w:val="998"/>
    <w:link w:val="967"/>
    <w:pPr>
      <w:spacing w:after="120"/>
    </w:pPr>
    <w:rPr>
      <w:rFonts w:ascii="宋体" w:hAnsi="Arial" w:eastAsia="宋体" w:cs="Times New Roman"/>
      <w:bCs/>
      <w:iCs/>
      <w:szCs w:val="24"/>
    </w:rPr>
  </w:style>
  <w:style w:type="paragraph" w:styleId="1050">
    <w:name w:val="xl27"/>
    <w:basedOn w:val="967"/>
    <w:next w:val="1050"/>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6"/>
    <w:basedOn w:val="967"/>
    <w:next w:val="1051"/>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name w:val="Char"/>
    <w:basedOn w:val="967"/>
    <w:next w:val="1052"/>
    <w:link w:val="967"/>
    <w:pPr>
      <w:ind w:firstLine="200"/>
      <w:tabs>
        <w:tab w:val="left" w:pos="360" w:leader="none"/>
      </w:tabs>
    </w:pPr>
    <w:rPr>
      <w:rFonts w:ascii="Times New Roman" w:hAnsi="Times New Roman" w:eastAsia="宋体" w:cs="Times New Roman"/>
      <w:sz w:val="28"/>
      <w:szCs w:val="30"/>
    </w:rPr>
  </w:style>
  <w:style w:type="paragraph" w:styleId="1053">
    <w:name w:val=" Char"/>
    <w:basedOn w:val="992"/>
    <w:next w:val="1053"/>
    <w:link w:val="967"/>
    <w:rPr>
      <w:rFonts w:ascii="Tahoma" w:hAnsi="Tahoma"/>
      <w:sz w:val="24"/>
      <w:szCs w:val="24"/>
    </w:rPr>
  </w:style>
  <w:style w:type="paragraph" w:styleId="1054">
    <w:name w:val="普通正文"/>
    <w:basedOn w:val="967"/>
    <w:next w:val="1054"/>
    <w:link w:val="967"/>
    <w:pPr>
      <w:ind w:firstLine="480"/>
      <w:jc w:val="left"/>
      <w:spacing w:before="120" w:after="120" w:line="360" w:lineRule="auto"/>
    </w:pPr>
    <w:rPr>
      <w:rFonts w:ascii="Arial" w:hAnsi="Arial" w:eastAsia="宋体" w:cs="Times New Roman"/>
      <w:sz w:val="24"/>
      <w:szCs w:val="24"/>
    </w:rPr>
  </w:style>
  <w:style w:type="paragraph" w:styleId="1055">
    <w:name w:val="table_lines"/>
    <w:basedOn w:val="967"/>
    <w:next w:val="1055"/>
    <w:link w:val="967"/>
    <w:pPr>
      <w:jc w:val="left"/>
      <w:widowControl/>
    </w:pPr>
    <w:rPr>
      <w:rFonts w:ascii="Times New Roman" w:hAnsi="Times New Roman" w:eastAsia="宋体" w:cs="Times New Roman"/>
      <w:sz w:val="20"/>
      <w:szCs w:val="20"/>
      <w:lang w:val="de-DE" w:eastAsia="de-DE"/>
    </w:rPr>
  </w:style>
  <w:style w:type="paragraph" w:styleId="1056">
    <w:name w:val="附录1"/>
    <w:next w:val="1056"/>
    <w:link w:val="96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7">
    <w:name w:val="font7"/>
    <w:basedOn w:val="967"/>
    <w:next w:val="1057"/>
    <w:link w:val="967"/>
    <w:pPr>
      <w:jc w:val="left"/>
      <w:spacing w:before="100" w:beforeAutospacing="1" w:after="100" w:afterAutospacing="1"/>
      <w:widowControl/>
    </w:pPr>
    <w:rPr>
      <w:rFonts w:hint="eastAsia" w:ascii="宋体" w:hAnsi="宋体" w:eastAsia="宋体" w:cs="Times New Roman"/>
      <w:sz w:val="18"/>
      <w:szCs w:val="18"/>
    </w:rPr>
  </w:style>
  <w:style w:type="paragraph" w:styleId="1058">
    <w:name w:val=" Char Char Char Char"/>
    <w:basedOn w:val="992"/>
    <w:next w:val="1058"/>
    <w:link w:val="967"/>
    <w:pPr>
      <w:spacing w:line="360" w:lineRule="auto"/>
    </w:pPr>
    <w:rPr>
      <w:rFonts w:ascii="Tahoma" w:hAnsi="Tahoma"/>
      <w:sz w:val="24"/>
      <w:szCs w:val="24"/>
    </w:rPr>
  </w:style>
  <w:style w:type="paragraph" w:styleId="1059">
    <w:name w:val="列出段落"/>
    <w:basedOn w:val="967"/>
    <w:next w:val="1059"/>
    <w:link w:val="967"/>
    <w:qFormat/>
    <w:pPr>
      <w:contextualSpacing/>
      <w:ind w:left="720"/>
      <w:jc w:val="left"/>
      <w:widowControl/>
    </w:pPr>
    <w:rPr>
      <w:rFonts w:ascii="Calibri" w:hAnsi="Calibri" w:eastAsia="宋体" w:cs="Times New Roman"/>
      <w:sz w:val="24"/>
      <w:szCs w:val="24"/>
      <w:lang w:eastAsia="en-US" w:bidi="en-US"/>
    </w:rPr>
  </w:style>
  <w:style w:type="paragraph" w:styleId="1060">
    <w:name w:val="4"/>
    <w:basedOn w:val="967"/>
    <w:next w:val="1022"/>
    <w:link w:val="967"/>
    <w:pPr>
      <w:ind w:firstLine="420"/>
      <w:spacing w:line="360" w:lineRule="auto"/>
    </w:pPr>
    <w:rPr>
      <w:rFonts w:ascii="Times New Roman" w:hAnsi="Times New Roman" w:eastAsia="宋体" w:cs="Times New Roman"/>
      <w:color w:val="ff0000"/>
      <w:sz w:val="24"/>
      <w:szCs w:val="24"/>
    </w:rPr>
  </w:style>
  <w:style w:type="paragraph" w:styleId="1061">
    <w:name w:val="普通 (Web)"/>
    <w:basedOn w:val="967"/>
    <w:next w:val="1061"/>
    <w:link w:val="967"/>
    <w:pPr>
      <w:jc w:val="left"/>
      <w:spacing w:before="100" w:beforeAutospacing="1" w:after="100" w:afterAutospacing="1"/>
      <w:widowControl/>
    </w:pPr>
    <w:rPr>
      <w:rFonts w:ascii="宋体" w:hAnsi="宋体" w:eastAsia="宋体" w:cs="Times New Roman"/>
      <w:sz w:val="24"/>
      <w:szCs w:val="24"/>
    </w:rPr>
  </w:style>
  <w:style w:type="paragraph" w:styleId="1062">
    <w:name w:val=" Char Char Char Char Char Char Char Char Char Char"/>
    <w:basedOn w:val="967"/>
    <w:next w:val="1062"/>
    <w:link w:val="967"/>
    <w:pPr>
      <w:spacing w:line="360" w:lineRule="auto"/>
    </w:pPr>
    <w:rPr>
      <w:rFonts w:ascii="Times New Roman" w:hAnsi="Times New Roman" w:eastAsia="宋体" w:cs="Times New Roman"/>
      <w:sz w:val="24"/>
      <w:szCs w:val="20"/>
    </w:rPr>
  </w:style>
  <w:style w:type="paragraph" w:styleId="1063">
    <w:name w:val="样式1"/>
    <w:basedOn w:val="967"/>
    <w:next w:val="1063"/>
    <w:link w:val="967"/>
    <w:pPr>
      <w:numPr>
        <w:ilvl w:val="0"/>
        <w:numId w:val="3"/>
      </w:numPr>
      <w:tabs>
        <w:tab w:val="left" w:pos="709" w:leader="none"/>
      </w:tabs>
    </w:pPr>
    <w:rPr>
      <w:rFonts w:ascii="宋体" w:hAnsi="宋体" w:eastAsia="宋体" w:cs="Times New Roman"/>
      <w:szCs w:val="21"/>
    </w:rPr>
  </w:style>
  <w:style w:type="paragraph" w:styleId="1064">
    <w:name w:val="font6"/>
    <w:basedOn w:val="967"/>
    <w:next w:val="1064"/>
    <w:link w:val="967"/>
    <w:pPr>
      <w:jc w:val="left"/>
      <w:spacing w:before="100" w:beforeAutospacing="1" w:after="100" w:afterAutospacing="1"/>
      <w:widowControl/>
    </w:pPr>
    <w:rPr>
      <w:rFonts w:hint="eastAsia" w:ascii="宋体" w:hAnsi="宋体" w:eastAsia="宋体" w:cs="Times New Roman"/>
      <w:sz w:val="28"/>
      <w:szCs w:val="28"/>
      <w:u w:val="single"/>
    </w:rPr>
  </w:style>
  <w:style w:type="paragraph" w:styleId="1065">
    <w:name w:val="xl25"/>
    <w:basedOn w:val="967"/>
    <w:next w:val="1065"/>
    <w:link w:val="9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name w:val="图标"/>
    <w:basedOn w:val="967"/>
    <w:next w:val="967"/>
    <w:link w:val="9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name w:val="标题3"/>
    <w:basedOn w:val="967"/>
    <w:next w:val="967"/>
    <w:link w:val="967"/>
    <w:pPr>
      <w:ind w:firstLine="624"/>
      <w:spacing w:line="590" w:lineRule="atLeast"/>
    </w:pPr>
    <w:rPr>
      <w:rFonts w:ascii="方正黑体_GBK" w:hAnsi="Times New Roman" w:eastAsia="方正黑体_GBK" w:cs="Times New Roman"/>
      <w:sz w:val="32"/>
      <w:szCs w:val="32"/>
    </w:rPr>
  </w:style>
  <w:style w:type="paragraph" w:styleId="1068">
    <w:name w:val="xl24"/>
    <w:basedOn w:val="967"/>
    <w:next w:val="1068"/>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name w:val="xl29"/>
    <w:basedOn w:val="967"/>
    <w:next w:val="1069"/>
    <w:link w:val="9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0">
    <w:name w:val="Char Char Char Char Char Char Char Char"/>
    <w:basedOn w:val="967"/>
    <w:next w:val="1070"/>
    <w:link w:val="967"/>
    <w:pPr>
      <w:jc w:val="left"/>
      <w:spacing w:after="160" w:line="240" w:lineRule="exact"/>
      <w:widowControl/>
    </w:pPr>
    <w:rPr>
      <w:rFonts w:ascii="Verdana" w:hAnsi="Verdana" w:eastAsia="宋体" w:cs="Times New Roman"/>
      <w:sz w:val="20"/>
      <w:szCs w:val="20"/>
      <w:lang w:eastAsia="en-US"/>
    </w:rPr>
  </w:style>
  <w:style w:type="paragraph" w:styleId="1071">
    <w:name w:val="xl28"/>
    <w:basedOn w:val="967"/>
    <w:next w:val="1071"/>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2">
    <w:name w:val=" Char Char Char Char Char Char Char Char"/>
    <w:basedOn w:val="967"/>
    <w:next w:val="1072"/>
    <w:link w:val="967"/>
    <w:pPr>
      <w:jc w:val="left"/>
      <w:spacing w:after="160" w:line="240" w:lineRule="exact"/>
      <w:widowControl/>
    </w:pPr>
    <w:rPr>
      <w:rFonts w:ascii="Verdana" w:hAnsi="Verdana" w:eastAsia="宋体" w:cs="Times New Roman"/>
      <w:sz w:val="20"/>
      <w:szCs w:val="20"/>
      <w:lang w:eastAsia="en-US"/>
    </w:rPr>
  </w:style>
  <w:style w:type="paragraph" w:styleId="1073">
    <w:name w:val="xl30"/>
    <w:basedOn w:val="967"/>
    <w:next w:val="1073"/>
    <w:link w:val="967"/>
    <w:pPr>
      <w:jc w:val="center"/>
      <w:spacing w:before="100" w:beforeAutospacing="1" w:after="100" w:afterAutospacing="1"/>
      <w:widowControl/>
    </w:pPr>
    <w:rPr>
      <w:rFonts w:ascii="宋体" w:hAnsi="宋体" w:eastAsia="宋体" w:cs="Times New Roman"/>
      <w:b/>
      <w:bCs/>
      <w:sz w:val="36"/>
      <w:szCs w:val="36"/>
    </w:rPr>
  </w:style>
  <w:style w:type="paragraph" w:styleId="1074">
    <w:name w:val="Char Char Char Char"/>
    <w:basedOn w:val="992"/>
    <w:next w:val="1074"/>
    <w:link w:val="967"/>
    <w:pPr>
      <w:spacing w:line="360" w:lineRule="auto"/>
    </w:pPr>
    <w:rPr>
      <w:rFonts w:ascii="Tahoma" w:hAnsi="Tahoma"/>
      <w:sz w:val="24"/>
      <w:szCs w:val="24"/>
    </w:rPr>
  </w:style>
  <w:style w:type="paragraph" w:styleId="1075">
    <w:name w:val="table_1stline"/>
    <w:basedOn w:val="967"/>
    <w:next w:val="1075"/>
    <w:link w:val="967"/>
    <w:pPr>
      <w:jc w:val="left"/>
      <w:spacing w:before="120"/>
      <w:widowControl/>
    </w:pPr>
    <w:rPr>
      <w:rFonts w:ascii="Times New Roman" w:hAnsi="Times New Roman" w:eastAsia="宋体" w:cs="Times New Roman"/>
      <w:bCs/>
      <w:sz w:val="20"/>
      <w:szCs w:val="20"/>
      <w:lang w:val="de-DE" w:eastAsia="de-DE"/>
    </w:rPr>
  </w:style>
  <w:style w:type="paragraph" w:styleId="1076">
    <w:name w:val="font5"/>
    <w:basedOn w:val="967"/>
    <w:next w:val="1076"/>
    <w:link w:val="967"/>
    <w:pPr>
      <w:jc w:val="left"/>
      <w:spacing w:before="100" w:beforeAutospacing="1" w:after="100" w:afterAutospacing="1"/>
      <w:widowControl/>
    </w:pPr>
    <w:rPr>
      <w:rFonts w:hint="eastAsia" w:ascii="宋体" w:hAnsi="宋体" w:eastAsia="宋体" w:cs="Times New Roman"/>
      <w:sz w:val="28"/>
      <w:szCs w:val="28"/>
    </w:rPr>
  </w:style>
  <w:style w:type="paragraph" w:styleId="1077">
    <w:name w:val="标题1"/>
    <w:basedOn w:val="967"/>
    <w:next w:val="967"/>
    <w:link w:val="9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8">
    <w:name w:val="修订"/>
    <w:next w:val="1078"/>
    <w:link w:val="967"/>
    <w:uiPriority w:val="99"/>
    <w:semiHidden/>
    <w:rPr>
      <w:rFonts w:ascii="Times New Roman" w:hAnsi="Times New Roman"/>
      <w:sz w:val="21"/>
      <w:szCs w:val="21"/>
      <w:lang w:val="en-US" w:eastAsia="zh-CN" w:bidi="ar-SA"/>
    </w:rPr>
  </w:style>
  <w:style w:type="paragraph" w:styleId="1079">
    <w:name w:val="无间隔"/>
    <w:next w:val="1079"/>
    <w:link w:val="967"/>
    <w:uiPriority w:val="99"/>
    <w:qFormat/>
    <w:pPr>
      <w:jc w:val="both"/>
      <w:widowControl w:val="off"/>
    </w:pPr>
    <w:rPr>
      <w:rFonts w:ascii="Times New Roman" w:hAnsi="Times New Roman"/>
      <w:sz w:val="21"/>
      <w:szCs w:val="21"/>
      <w:lang w:val="en-US" w:eastAsia="zh-CN" w:bidi="ar-SA"/>
    </w:rPr>
  </w:style>
  <w:style w:type="paragraph" w:styleId="1080">
    <w:name w:val="AONormal"/>
    <w:next w:val="1080"/>
    <w:link w:val="967"/>
    <w:qFormat/>
    <w:pPr>
      <w:ind w:firstLine="440"/>
      <w:spacing w:line="400" w:lineRule="exact"/>
    </w:pPr>
    <w:rPr>
      <w:rFonts w:ascii="华文楷体" w:hAnsi="华文楷体" w:eastAsia="华文楷体" w:cs="华文楷体"/>
      <w:sz w:val="22"/>
      <w:szCs w:val="21"/>
      <w:lang w:val="en-US" w:eastAsia="zh-CN" w:bidi="ar-SA"/>
    </w:rPr>
  </w:style>
  <w:style w:type="paragraph" w:styleId="1081">
    <w:name w:val="标题 311"/>
    <w:basedOn w:val="967"/>
    <w:next w:val="1082"/>
    <w:link w:val="967"/>
    <w:qFormat/>
    <w:pPr>
      <w:keepLines/>
      <w:keepNext/>
      <w:spacing w:before="260" w:after="260" w:line="416" w:lineRule="auto"/>
      <w:outlineLvl w:val="2"/>
    </w:pPr>
    <w:rPr>
      <w:b/>
      <w:bCs/>
      <w:sz w:val="32"/>
      <w:szCs w:val="32"/>
    </w:rPr>
  </w:style>
  <w:style w:type="paragraph" w:styleId="1082">
    <w:name w:val="正文缩进111"/>
    <w:basedOn w:val="967"/>
    <w:next w:val="1082"/>
    <w:link w:val="967"/>
    <w:qFormat/>
    <w:pPr>
      <w:ind w:firstLine="420"/>
    </w:pPr>
  </w:style>
  <w:style w:type="character" w:styleId="1083">
    <w:name w:val="font13"/>
    <w:basedOn w:val="977"/>
    <w:next w:val="1083"/>
    <w:link w:val="967"/>
    <w:qFormat/>
    <w:rPr>
      <w:rFonts w:hint="eastAsia" w:ascii="宋体" w:hAnsi="宋体" w:eastAsia="宋体" w:cs="宋体"/>
      <w:color w:val="000000"/>
      <w:sz w:val="20"/>
      <w:szCs w:val="20"/>
      <w:u w:val="none"/>
    </w:rPr>
  </w:style>
  <w:style w:type="character" w:styleId="1084">
    <w:name w:val="font101"/>
    <w:basedOn w:val="977"/>
    <w:next w:val="1084"/>
    <w:link w:val="967"/>
    <w:qFormat/>
    <w:rPr>
      <w:rFonts w:hint="eastAsia" w:ascii="宋体" w:hAnsi="宋体" w:eastAsia="宋体" w:cs="宋体"/>
      <w:color w:val="ff0000"/>
      <w:sz w:val="20"/>
      <w:szCs w:val="20"/>
      <w:u w:val="none"/>
    </w:rPr>
  </w:style>
  <w:style w:type="character" w:styleId="1085">
    <w:name w:val="font111"/>
    <w:basedOn w:val="977"/>
    <w:next w:val="1085"/>
    <w:link w:val="967"/>
    <w:qFormat/>
    <w:rPr>
      <w:rFonts w:hint="eastAsia" w:ascii="宋体" w:hAnsi="宋体" w:eastAsia="宋体" w:cs="宋体"/>
      <w:color w:val="000000"/>
      <w:sz w:val="20"/>
      <w:szCs w:val="20"/>
      <w:u w:val="none"/>
    </w:rPr>
  </w:style>
  <w:style w:type="character" w:styleId="1086">
    <w:name w:val="font121"/>
    <w:basedOn w:val="977"/>
    <w:next w:val="1086"/>
    <w:link w:val="967"/>
    <w:qFormat/>
    <w:rPr>
      <w:rFonts w:ascii="Times New Roman" w:hAnsi="Times New Roman" w:cs="Times New Roman"/>
      <w:color w:val="ff0000"/>
      <w:sz w:val="20"/>
      <w:szCs w:val="20"/>
      <w:u w:val="none"/>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7</cp:revision>
  <dcterms:created xsi:type="dcterms:W3CDTF">2023-03-16T02:13:00Z</dcterms:created>
  <dcterms:modified xsi:type="dcterms:W3CDTF">2026-06-18T03:25:03Z</dcterms:modified>
</cp:coreProperties>
</file>